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FC" w:rsidRPr="00260510" w:rsidRDefault="00006CE3" w:rsidP="009220BD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ANEXO I</w:t>
      </w:r>
      <w:r w:rsidR="007607E6" w:rsidRPr="00260510">
        <w:rPr>
          <w:rFonts w:ascii="Verdana" w:hAnsi="Verdana"/>
          <w:b/>
          <w:sz w:val="36"/>
          <w:szCs w:val="36"/>
        </w:rPr>
        <w:t>I</w:t>
      </w:r>
    </w:p>
    <w:p w:rsidR="00006CE3" w:rsidRPr="00260510" w:rsidRDefault="00006CE3" w:rsidP="009220BD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 xml:space="preserve">Previsão da Receita </w:t>
      </w:r>
    </w:p>
    <w:tbl>
      <w:tblPr>
        <w:tblW w:w="131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36"/>
        <w:gridCol w:w="1984"/>
        <w:gridCol w:w="2410"/>
        <w:gridCol w:w="2268"/>
      </w:tblGrid>
      <w:tr w:rsidR="00C519D9" w:rsidRPr="00260510" w:rsidTr="00C519D9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I. RECEITA CORRENTE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1.013.558.691,74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1.034.327.047,04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1.077.901.737,69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 Receita Própria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471.572.696,58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493.470.464,79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517.952.627,70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 IPTU - Exercício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83.239.441,00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86.569.018,64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90.031.779,39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(-) Renúncia IPTU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519.441,00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540.218,64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561.827,39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 IPTU - Líquido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82.720.000,00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86.028.800,00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89.469.952,00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1.2 IPTU - Dívida Ativa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17.400.000,00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18.096.000,00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18.819.840,00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1.3 IRRF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14.151.323,15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14.717.376,08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15.306.071,12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1.4 ITBI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17.391.099,00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18.086.742,96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18.810.212,68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(-) Renúncia ITBI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231.099,00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240.342,96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249.956,68</w:t>
            </w:r>
          </w:p>
        </w:tc>
      </w:tr>
      <w:tr w:rsidR="00C519D9" w:rsidRPr="00260510" w:rsidTr="00C519D9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1.4 ITBI - Líquido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17.160.000,00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17.846.400,00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18.560.256,00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1.5 ISSQN - Exercício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91.494.920,00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95.154.717,00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98.960.905,00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(-) Renúncia ISSQN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934.920,00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972.316,80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1.011.209,47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1.5 ISSQN - Líquido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90.560.000,00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94.182.400,20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97.949.695,53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1.6 ISSQN - Dívida Ativa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10.560.000,00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10.982.400,00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11.421.696,00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1.7 Taxas - Executivo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2.359.774,20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2.452.165,16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2.548.251,77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(-) Renúncia - Taxas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21.841,00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22.714,64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23.623,23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1.7 Taxas - Executivo - Líquido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2.337.933,20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2.429.450,52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2.524.628,54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1.8 Taxas - Sanep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36.492.200,00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38.309.000,00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40.232.700,00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1.9 Contribuição Previdenciária Servidor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25.629.760,00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28.192.860,00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31.022.100,00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1.10 Contribuição Assistência Saúde Servidor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6.539.850,00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7.193.800,00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7.913.200,00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1.11 Aplicações Financeiras - Executivo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1.12 Aplicações Financeiras - PREVPEL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5.870.836,00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6.457.815,00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7.093.646,00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1.13 Aplicações Financeiras - SANEP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1.260.000,00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1.323.000,00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1.14 Receita de Cessão de Direitos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2.476.842,23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2.575.915,91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2.678.952,55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1.15 Receita de Serviços - Executivo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3.114.752,00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3.239.342,08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3.368.915,76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1.16 Receita Serviços - SANEP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131.144.300,00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137.621.000,00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144.712.300,00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   1.17 Multa de Trânsito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2.500.000,00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2.704.000,00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1.18 Multa Danos ao Meio Ambiente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1.19 Multa da Dívida Tributária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216.320,00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224.972,80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1.20 Multa de Outras Origens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108.160,00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112.486,40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1.21 Outras - Executivo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1.956.000,00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1.22 Outras - SANEP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17.899.300,00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18.795.000,00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19.732.000,00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1.23 Outras - PREVPEL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1.497.600,00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1.648.425,00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1.812.215,00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 Transferência Intra-Orçamentária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89.004.904,00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97.904.432,00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107.695.911,00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2.Transferências da União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266.667.534,38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254.614.380,47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262.200.666,92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 FPM cota-parte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66.161.614,22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68.808.078,79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71.560.401,94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2.2 FPM - cota Julho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2.944.155,76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3.061.921,99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3.184.398,87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2.3 FPM - cota Dezembro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3.024.390,72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3.145.366,35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3.271.181,00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2.4 ITR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1.040.000,00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1.081.600,00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1.124.864,00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2.5 Lei Kandir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645.121,10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670.925,94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697.762,98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2.6 Auxílio Financeiro - Esforço Exportação (MP nº 193/04)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648.774,87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674.725,87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701.714,90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2.7 Cota Parte Royalties pela participação Especial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989.624,33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1.029.209,30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1.070.377,68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2.8 Convênios 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147.468.608,00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151.889.188,75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155.631.936,91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2.9 Convênios 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30.404.965,44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18.866.473,45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19.621.132,39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2.10 Convênios Assist.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4.436.734,46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4.436.734,46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4.436.734,46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2.11 Outros Convênios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161,79</w:t>
            </w:r>
          </w:p>
        </w:tc>
      </w:tr>
      <w:tr w:rsidR="00C519D9" w:rsidRPr="00260510" w:rsidTr="00C519D9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2.12 Outras Transferências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8.903.395,89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900.000,00</w:t>
            </w:r>
          </w:p>
        </w:tc>
      </w:tr>
      <w:tr w:rsidR="00C519D9" w:rsidRPr="00260510" w:rsidTr="00C519D9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3.Transferência do Estado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192.477.945,14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199.713.401,25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207.333.408,94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3.1 ICMS cota-parte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112.138.925,60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116.624.482,62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121.289.461,93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3.2 IPVA cota-parte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42.147.227,20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43.833.116,29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45.586.440,94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3.3 IPI Exportação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1.805.529,70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1.877.750,89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1.952.860,92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3.4 Convênios 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34.509.719,00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35.545.010,57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36.611.360,89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3.5 Convênios 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1.202.248,52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1.256.349,71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1.312.885,44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3.6 Outros Convênios – CIDE - PRONAF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484.000,00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484.000,00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484.000,00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3.7 Outras Transferências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190.295,12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92.691,17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96.398,82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4.Transferências Multigovernamentais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127.308.199,20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133.087.991,44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138.837.392,67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  4.1 FUNDEB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127.308.199,20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133.087.991,44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138.837.392,67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5.Transferências de Instituições Privadas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320.000,00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5.1 Contribuições FUNDICA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5.2 Transferencia Pronto Socorro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Deduções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44.787.683,56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46.579.190,91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48.442.358,54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(-) Contribuições Fundeb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44.787.683,56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46.579.190,91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48.442.358,54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II - RECEITA DE CAPITAL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128.976.008,51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49.126.605,89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40.609.542,13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Alienação de bens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493.659,51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513.405,89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533.942,13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2 - Operações de Crédito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67.002.694,43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46.154.600,00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39.496.600,00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2.1 PMAT 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1.500.000,00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2.2 PAC II - Saneamento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10.000.000,00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2.975.000,00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2.975.000,00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2.3 PAC II - Pavimentação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12.512.524,43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2.4 Requalificação Loteamento Pestano e Getúlio Vargas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27.020.000,00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25.810.000,00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21.120.000,00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2.5 Contra-partida PAC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125.370,00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2.6 Fomplata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15.844.800,00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17.369.600,00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15.401.600,00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3 - Transferências do Estado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4 - Transferências da União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61.479.654,57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2.458.600,00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579.000,00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 PAC II - Habitação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9.285.700,00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1.938.600,00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4.2 PAC II - Abastecimento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17.000.000,00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4.3 PAC II - Cidades Históricas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30.896.791,48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4.4 PAC II - Regularização Fundiária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4.5 Instalação da Fibra Ótica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4.6 Inventário de Áreas do Município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4.7  Educação Empreendedora e Digital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4.8 Tecnologia Fibra òtica e Gpon Parque Tecnológico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4.9 Construção de Galpão - 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234.833,66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4.10 Veículos apoio Agroindústria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107.632,09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4.11 Aquisição de Caminhão - EP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283.757,34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  4.12 Redes de Água na Santa Eulália e Silvana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4.13 Construção Central de Compostagem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500.940,00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4.14 Construção Bueiros Tubulares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4.15 Construção Pontes Zona Rural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4.16 Ampliação Água Zona Rural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4.17 Transferencias Sanep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110.000,00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120.000,00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C519D9" w:rsidRPr="00260510" w:rsidTr="00C519D9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III. RECEITA TOTAL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1.231.539.604,25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1.181.358.084,93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3B3B3"/>
            <w:noWrap/>
            <w:vAlign w:val="bottom"/>
            <w:hideMark/>
          </w:tcPr>
          <w:p w:rsidR="00C519D9" w:rsidRPr="00260510" w:rsidRDefault="00C519D9" w:rsidP="00C519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1.226.207.190,82</w:t>
            </w:r>
          </w:p>
        </w:tc>
      </w:tr>
    </w:tbl>
    <w:p w:rsidR="009220BD" w:rsidRPr="00260510" w:rsidRDefault="009220BD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765DC9" w:rsidRPr="00260510" w:rsidRDefault="00765DC9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Metodologia e Premissas de Cálculo das Principais Receitas e Origens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sz w:val="24"/>
          <w:szCs w:val="24"/>
        </w:rPr>
        <w:t xml:space="preserve">As receitas foram </w:t>
      </w:r>
      <w:r w:rsidR="00953846" w:rsidRPr="00260510">
        <w:rPr>
          <w:rFonts w:ascii="Arial" w:hAnsi="Arial" w:cs="Arial"/>
          <w:sz w:val="24"/>
          <w:szCs w:val="24"/>
        </w:rPr>
        <w:t>estimadas para o período de 2019 a 2021</w:t>
      </w:r>
      <w:r w:rsidRPr="00260510">
        <w:rPr>
          <w:rFonts w:ascii="Arial" w:hAnsi="Arial" w:cs="Arial"/>
          <w:sz w:val="24"/>
          <w:szCs w:val="24"/>
        </w:rPr>
        <w:t xml:space="preserve"> tomando-se por base a proje</w:t>
      </w:r>
      <w:r w:rsidR="00953846" w:rsidRPr="00260510">
        <w:rPr>
          <w:rFonts w:ascii="Arial" w:hAnsi="Arial" w:cs="Arial"/>
          <w:sz w:val="24"/>
          <w:szCs w:val="24"/>
        </w:rPr>
        <w:t>ção revista da receita para 2018</w:t>
      </w:r>
      <w:r w:rsidRPr="00260510">
        <w:rPr>
          <w:rFonts w:ascii="Arial" w:hAnsi="Arial" w:cs="Arial"/>
          <w:sz w:val="24"/>
          <w:szCs w:val="24"/>
        </w:rPr>
        <w:t>. Esta revisão considerou os valores arrecadados até o mês de Agosto, as consultas sobre transferências, convênios e operações de crédito firmado.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sz w:val="24"/>
          <w:szCs w:val="24"/>
        </w:rPr>
        <w:tab/>
      </w:r>
      <w:r w:rsidRPr="00260510">
        <w:rPr>
          <w:rFonts w:ascii="Arial" w:hAnsi="Arial" w:cs="Arial"/>
          <w:sz w:val="24"/>
          <w:szCs w:val="24"/>
        </w:rPr>
        <w:t xml:space="preserve">Para projetar as receitas próprias de IPTU, ISSQN, Dívida Ativa tomou-se por base o efetivamente arrecadado até agosto, com re-projeção </w:t>
      </w:r>
      <w:r w:rsidR="00953846" w:rsidRPr="00260510">
        <w:rPr>
          <w:rFonts w:ascii="Arial" w:hAnsi="Arial" w:cs="Arial"/>
          <w:sz w:val="24"/>
          <w:szCs w:val="24"/>
        </w:rPr>
        <w:t>até o final de 2018</w:t>
      </w:r>
      <w:r w:rsidRPr="00260510">
        <w:rPr>
          <w:rFonts w:ascii="Arial" w:hAnsi="Arial" w:cs="Arial"/>
          <w:sz w:val="24"/>
          <w:szCs w:val="24"/>
        </w:rPr>
        <w:t xml:space="preserve"> também considerada  a evolução da receitas nos três últimos exercícios</w:t>
      </w:r>
      <w:r w:rsidR="00953846" w:rsidRPr="00260510">
        <w:rPr>
          <w:rFonts w:ascii="Arial" w:hAnsi="Arial" w:cs="Arial"/>
          <w:sz w:val="24"/>
          <w:szCs w:val="24"/>
        </w:rPr>
        <w:t>. Assim para o exercício de 2019</w:t>
      </w:r>
      <w:r w:rsidRPr="00260510">
        <w:rPr>
          <w:rFonts w:ascii="Arial" w:hAnsi="Arial" w:cs="Arial"/>
          <w:sz w:val="24"/>
          <w:szCs w:val="24"/>
        </w:rPr>
        <w:t xml:space="preserve"> f</w:t>
      </w:r>
      <w:r w:rsidR="00953846" w:rsidRPr="00260510">
        <w:rPr>
          <w:rFonts w:ascii="Arial" w:hAnsi="Arial" w:cs="Arial"/>
          <w:sz w:val="24"/>
          <w:szCs w:val="24"/>
        </w:rPr>
        <w:t>oi aplicado o percentual de 4,0</w:t>
      </w:r>
      <w:r w:rsidRPr="00260510">
        <w:rPr>
          <w:rFonts w:ascii="Arial" w:hAnsi="Arial" w:cs="Arial"/>
          <w:sz w:val="24"/>
          <w:szCs w:val="24"/>
        </w:rPr>
        <w:t>% para o IPTU, ITBI, IRRF e ISSQN sobre a respectiva base e na</w:t>
      </w:r>
      <w:r w:rsidR="00CA115B" w:rsidRPr="00260510">
        <w:rPr>
          <w:rFonts w:ascii="Arial" w:hAnsi="Arial" w:cs="Arial"/>
          <w:sz w:val="24"/>
          <w:szCs w:val="24"/>
        </w:rPr>
        <w:t xml:space="preserve"> seqüência  tendo 4% em 2020; 4% em 2021</w:t>
      </w:r>
      <w:r w:rsidRPr="00260510">
        <w:rPr>
          <w:rFonts w:ascii="Arial" w:hAnsi="Arial" w:cs="Arial"/>
          <w:sz w:val="24"/>
          <w:szCs w:val="24"/>
        </w:rPr>
        <w:t>, sempre em relação ao exercício anterior.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sz w:val="24"/>
          <w:szCs w:val="24"/>
        </w:rPr>
        <w:tab/>
        <w:t>Na projeção das transferências constitucionais da receita, foram utilizados os seguintes percentuai</w:t>
      </w:r>
      <w:r w:rsidR="00CA115B" w:rsidRPr="00260510">
        <w:rPr>
          <w:rFonts w:ascii="Arial" w:hAnsi="Arial" w:cs="Arial"/>
          <w:sz w:val="24"/>
          <w:szCs w:val="24"/>
        </w:rPr>
        <w:t>s de 4% para 2018; 4% em 2020; 4</w:t>
      </w:r>
      <w:r w:rsidRPr="00260510">
        <w:rPr>
          <w:rFonts w:ascii="Arial" w:hAnsi="Arial" w:cs="Arial"/>
          <w:sz w:val="24"/>
          <w:szCs w:val="24"/>
        </w:rPr>
        <w:t xml:space="preserve"> % em  2</w:t>
      </w:r>
      <w:r w:rsidR="00CA115B" w:rsidRPr="00260510">
        <w:rPr>
          <w:rFonts w:ascii="Arial" w:hAnsi="Arial" w:cs="Arial"/>
          <w:sz w:val="24"/>
          <w:szCs w:val="24"/>
        </w:rPr>
        <w:t>021</w:t>
      </w:r>
      <w:r w:rsidRPr="00260510">
        <w:rPr>
          <w:rFonts w:ascii="Arial" w:hAnsi="Arial" w:cs="Arial"/>
          <w:sz w:val="24"/>
          <w:szCs w:val="24"/>
        </w:rPr>
        <w:t>, cuja base reporta-se a dados fornecidos pela Secretaria da Fazenda do Estado do Rio Grande do SUL- SEFA</w:t>
      </w:r>
      <w:r w:rsidR="00CA115B" w:rsidRPr="00260510">
        <w:rPr>
          <w:rFonts w:ascii="Arial" w:hAnsi="Arial" w:cs="Arial"/>
          <w:sz w:val="24"/>
          <w:szCs w:val="24"/>
        </w:rPr>
        <w:t>Z  RS,  para o exercício de 2018</w:t>
      </w:r>
      <w:r w:rsidRPr="00260510">
        <w:rPr>
          <w:rFonts w:ascii="Arial" w:hAnsi="Arial" w:cs="Arial"/>
          <w:sz w:val="24"/>
          <w:szCs w:val="24"/>
        </w:rPr>
        <w:t>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sz w:val="24"/>
          <w:szCs w:val="24"/>
        </w:rPr>
        <w:tab/>
        <w:t>O cenário macroeconômico adotado, apresentado no item Metodologia, definiu as taxas de inflação, de juros e de crescimento econômico que subsidiaram as estimativas das metas. Os valores das principais variáveis macroeconômicas que constituem o cenário utilizado foram definidos após consultas junto a órgãos oficiais que realizam esse tipo de estimativa, como IGP DI e percentuais de crescimento da receita.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IPTU </w:t>
      </w:r>
      <w:r w:rsidRPr="00260510">
        <w:rPr>
          <w:rFonts w:ascii="Arial" w:hAnsi="Arial" w:cs="Arial"/>
          <w:sz w:val="24"/>
          <w:szCs w:val="24"/>
        </w:rPr>
        <w:t>– Foram man</w:t>
      </w:r>
      <w:r w:rsidR="00CA115B" w:rsidRPr="00260510">
        <w:rPr>
          <w:rFonts w:ascii="Arial" w:hAnsi="Arial" w:cs="Arial"/>
          <w:sz w:val="24"/>
          <w:szCs w:val="24"/>
        </w:rPr>
        <w:t>tidas, durante o período de 2019 a 2021</w:t>
      </w:r>
      <w:r w:rsidRPr="00260510">
        <w:rPr>
          <w:rFonts w:ascii="Arial" w:hAnsi="Arial" w:cs="Arial"/>
          <w:sz w:val="24"/>
          <w:szCs w:val="24"/>
        </w:rPr>
        <w:t>, as mesmas taxas de inadimplência e an</w:t>
      </w:r>
      <w:r w:rsidR="00CA115B" w:rsidRPr="00260510">
        <w:rPr>
          <w:rFonts w:ascii="Arial" w:hAnsi="Arial" w:cs="Arial"/>
          <w:sz w:val="24"/>
          <w:szCs w:val="24"/>
        </w:rPr>
        <w:t>tecipação consideradas para 2018. Para 2019</w:t>
      </w:r>
      <w:r w:rsidRPr="00260510">
        <w:rPr>
          <w:rFonts w:ascii="Arial" w:hAnsi="Arial" w:cs="Arial"/>
          <w:sz w:val="24"/>
          <w:szCs w:val="24"/>
        </w:rPr>
        <w:t>, espera-se a implantação de medidas que melhorem a eficiência da arrecadação tributária</w:t>
      </w:r>
      <w:r w:rsidR="0028358B" w:rsidRPr="00260510">
        <w:rPr>
          <w:rFonts w:ascii="Arial" w:hAnsi="Arial" w:cs="Arial"/>
          <w:sz w:val="24"/>
          <w:szCs w:val="24"/>
        </w:rPr>
        <w:t xml:space="preserve"> com o aprimoramento do fluxo de processos do IPTU e atualização do cadastro Imobiliário.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>ISSQN –</w:t>
      </w:r>
      <w:r w:rsidRPr="00260510">
        <w:rPr>
          <w:rFonts w:ascii="Arial" w:hAnsi="Arial" w:cs="Arial"/>
          <w:sz w:val="24"/>
          <w:szCs w:val="24"/>
        </w:rPr>
        <w:t xml:space="preserve"> A maior parte desse imposto é constituída pelo ISSQN auto-lançado que varia, principalmente, em função</w:t>
      </w:r>
      <w:r w:rsidR="0028358B" w:rsidRPr="00260510">
        <w:rPr>
          <w:rFonts w:ascii="Arial" w:hAnsi="Arial" w:cs="Arial"/>
          <w:sz w:val="24"/>
          <w:szCs w:val="24"/>
        </w:rPr>
        <w:t xml:space="preserve"> da atividade econômica. Se fará a atualização do Cadastro Mobiliário.</w:t>
      </w:r>
      <w:r w:rsidRPr="00260510">
        <w:rPr>
          <w:rFonts w:ascii="Arial" w:hAnsi="Arial" w:cs="Arial"/>
          <w:sz w:val="24"/>
          <w:szCs w:val="24"/>
        </w:rPr>
        <w:t xml:space="preserve"> A projeção deste tributo inclui a previsão </w:t>
      </w:r>
      <w:r w:rsidR="0028358B" w:rsidRPr="00260510">
        <w:rPr>
          <w:rFonts w:ascii="Arial" w:hAnsi="Arial" w:cs="Arial"/>
          <w:sz w:val="24"/>
          <w:szCs w:val="24"/>
        </w:rPr>
        <w:t>fiscalização sobre leasing, cartões de crédito, implantação da Nota Fiscal Pelotense.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>ITBI –</w:t>
      </w:r>
      <w:r w:rsidRPr="00260510">
        <w:rPr>
          <w:rFonts w:ascii="Arial" w:hAnsi="Arial" w:cs="Arial"/>
          <w:sz w:val="24"/>
          <w:szCs w:val="24"/>
        </w:rPr>
        <w:t xml:space="preserve"> A utilização de base de cálculo mais realista terá impacto na arrecadação do ITBI, </w:t>
      </w:r>
      <w:r w:rsidR="007E34C1" w:rsidRPr="00260510">
        <w:rPr>
          <w:rFonts w:ascii="Arial" w:hAnsi="Arial" w:cs="Arial"/>
          <w:sz w:val="24"/>
          <w:szCs w:val="24"/>
        </w:rPr>
        <w:t>com  a implantação de programa de incentivo à retirada dos “contratos de gaveta” , revisão das isenções concedidas as empresas nos últimos 5 anos.</w:t>
      </w:r>
      <w:r w:rsidRPr="00260510">
        <w:rPr>
          <w:rFonts w:ascii="Arial" w:hAnsi="Arial" w:cs="Arial"/>
          <w:sz w:val="24"/>
          <w:szCs w:val="24"/>
        </w:rPr>
        <w:t xml:space="preserve"> 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DÍVIDA ATIVA TRIBUTÁRIA – </w:t>
      </w:r>
      <w:r w:rsidRPr="00260510">
        <w:rPr>
          <w:rFonts w:ascii="Arial" w:hAnsi="Arial" w:cs="Arial"/>
          <w:sz w:val="24"/>
          <w:szCs w:val="24"/>
        </w:rPr>
        <w:t>A previsão foi projetada considerando-se um grande esforço direcionado a este serviço, com a contratação de servidores e novos equipamentos, que se encontra em fase de licitação. Também foi projetado um novo sistema de cobrança via banco para os contribuintes que o</w:t>
      </w:r>
      <w:r w:rsidR="007E34C1" w:rsidRPr="00260510">
        <w:rPr>
          <w:rFonts w:ascii="Arial" w:hAnsi="Arial" w:cs="Arial"/>
          <w:sz w:val="24"/>
          <w:szCs w:val="24"/>
        </w:rPr>
        <w:t>ptarem pelo parcelamento do REFIS.</w:t>
      </w:r>
      <w:r w:rsidRPr="00260510">
        <w:rPr>
          <w:rFonts w:ascii="Arial" w:hAnsi="Arial" w:cs="Arial"/>
          <w:sz w:val="24"/>
          <w:szCs w:val="24"/>
        </w:rPr>
        <w:t xml:space="preserve"> Ainda foi considerada a cobrança devida pelas Instituições Financeiras referente ao leasing por elas concedido, em anos anteriores, o qual foi recolhido ao município das suas respectivas matrizes, quando deveriam ser pago ao nosso município. 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FPM – </w:t>
      </w:r>
      <w:r w:rsidRPr="00260510">
        <w:rPr>
          <w:rFonts w:ascii="Arial" w:hAnsi="Arial" w:cs="Arial"/>
          <w:sz w:val="24"/>
          <w:szCs w:val="24"/>
        </w:rPr>
        <w:t>Cresceu de acordo com a atividade econômica.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ICMS – </w:t>
      </w:r>
      <w:r w:rsidRPr="00260510">
        <w:rPr>
          <w:rFonts w:ascii="Arial" w:hAnsi="Arial" w:cs="Arial"/>
          <w:sz w:val="24"/>
          <w:szCs w:val="24"/>
        </w:rPr>
        <w:t>Considerou-se que será mantido, para o perío</w:t>
      </w:r>
      <w:r w:rsidR="00CA115B" w:rsidRPr="00260510">
        <w:rPr>
          <w:rFonts w:ascii="Arial" w:hAnsi="Arial" w:cs="Arial"/>
          <w:sz w:val="24"/>
          <w:szCs w:val="24"/>
        </w:rPr>
        <w:t>do de 2019 a 2021</w:t>
      </w:r>
      <w:r w:rsidRPr="00260510">
        <w:rPr>
          <w:rFonts w:ascii="Arial" w:hAnsi="Arial" w:cs="Arial"/>
          <w:sz w:val="24"/>
          <w:szCs w:val="24"/>
        </w:rPr>
        <w:t xml:space="preserve">, o mesmo </w:t>
      </w:r>
      <w:r w:rsidR="00CA115B" w:rsidRPr="00260510">
        <w:rPr>
          <w:rFonts w:ascii="Arial" w:hAnsi="Arial" w:cs="Arial"/>
          <w:sz w:val="24"/>
          <w:szCs w:val="24"/>
        </w:rPr>
        <w:t>valor nominal estimado para 2018</w:t>
      </w:r>
      <w:r w:rsidRPr="00260510">
        <w:rPr>
          <w:rFonts w:ascii="Arial" w:hAnsi="Arial" w:cs="Arial"/>
          <w:sz w:val="24"/>
          <w:szCs w:val="24"/>
        </w:rPr>
        <w:t>, descontando-se a variação estimada para o Índice de Participação do Município de Pelotas na arrecadação do ICMS.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TRANSFERÊNCIAS DO SUS – </w:t>
      </w:r>
      <w:r w:rsidRPr="00260510">
        <w:rPr>
          <w:rFonts w:ascii="Arial" w:hAnsi="Arial" w:cs="Arial"/>
          <w:sz w:val="24"/>
          <w:szCs w:val="24"/>
        </w:rPr>
        <w:t>A Secretaria Municipal de Saúde informou os valores estim</w:t>
      </w:r>
      <w:r w:rsidR="00CA115B" w:rsidRPr="00260510">
        <w:rPr>
          <w:rFonts w:ascii="Arial" w:hAnsi="Arial" w:cs="Arial"/>
          <w:sz w:val="24"/>
          <w:szCs w:val="24"/>
        </w:rPr>
        <w:t>ados para 2019</w:t>
      </w:r>
      <w:r w:rsidRPr="00260510">
        <w:rPr>
          <w:rFonts w:ascii="Arial" w:hAnsi="Arial" w:cs="Arial"/>
          <w:sz w:val="24"/>
          <w:szCs w:val="24"/>
        </w:rPr>
        <w:t>, que foram mantidos, em termos reais, para os anos seguintes.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TRANSFERÊNCIAS DO FNDE - </w:t>
      </w:r>
      <w:r w:rsidRPr="00260510">
        <w:rPr>
          <w:rFonts w:ascii="Arial" w:hAnsi="Arial" w:cs="Arial"/>
          <w:sz w:val="24"/>
          <w:szCs w:val="24"/>
        </w:rPr>
        <w:t xml:space="preserve">A Secretaria Municipal de Educação </w:t>
      </w:r>
      <w:r w:rsidR="00D566EB" w:rsidRPr="00260510">
        <w:rPr>
          <w:rFonts w:ascii="Arial" w:hAnsi="Arial" w:cs="Arial"/>
          <w:sz w:val="24"/>
          <w:szCs w:val="24"/>
        </w:rPr>
        <w:t xml:space="preserve">e Desporto </w:t>
      </w:r>
      <w:r w:rsidRPr="00260510">
        <w:rPr>
          <w:rFonts w:ascii="Arial" w:hAnsi="Arial" w:cs="Arial"/>
          <w:sz w:val="24"/>
          <w:szCs w:val="24"/>
        </w:rPr>
        <w:t>informo</w:t>
      </w:r>
      <w:r w:rsidR="007E34C1" w:rsidRPr="00260510">
        <w:rPr>
          <w:rFonts w:ascii="Arial" w:hAnsi="Arial" w:cs="Arial"/>
          <w:sz w:val="24"/>
          <w:szCs w:val="24"/>
        </w:rPr>
        <w:t>u os v</w:t>
      </w:r>
      <w:r w:rsidR="00CA115B" w:rsidRPr="00260510">
        <w:rPr>
          <w:rFonts w:ascii="Arial" w:hAnsi="Arial" w:cs="Arial"/>
          <w:sz w:val="24"/>
          <w:szCs w:val="24"/>
        </w:rPr>
        <w:t>alores estimados para 2019</w:t>
      </w:r>
      <w:r w:rsidRPr="00260510">
        <w:rPr>
          <w:rFonts w:ascii="Arial" w:hAnsi="Arial" w:cs="Arial"/>
          <w:sz w:val="24"/>
          <w:szCs w:val="24"/>
        </w:rPr>
        <w:t>, que foram mantidos, em termos reais, para os outros anos.</w:t>
      </w: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b/>
          <w:bCs/>
          <w:sz w:val="24"/>
          <w:szCs w:val="24"/>
        </w:rPr>
      </w:pPr>
    </w:p>
    <w:p w:rsidR="00932B02" w:rsidRPr="00260510" w:rsidRDefault="00932B02" w:rsidP="00932B02">
      <w:pPr>
        <w:pStyle w:val="Textopr-formatado"/>
        <w:jc w:val="both"/>
        <w:rPr>
          <w:rFonts w:ascii="Arial" w:hAnsi="Arial" w:cs="Arial"/>
          <w:sz w:val="24"/>
          <w:szCs w:val="24"/>
        </w:rPr>
      </w:pPr>
      <w:r w:rsidRPr="00260510">
        <w:rPr>
          <w:rFonts w:ascii="Arial" w:hAnsi="Arial" w:cs="Arial"/>
          <w:b/>
          <w:bCs/>
          <w:sz w:val="24"/>
          <w:szCs w:val="24"/>
        </w:rPr>
        <w:t xml:space="preserve">TRANSFERÊNCIAS DO FNAS - </w:t>
      </w:r>
      <w:r w:rsidRPr="00260510">
        <w:rPr>
          <w:rFonts w:ascii="Arial" w:hAnsi="Arial" w:cs="Arial"/>
          <w:sz w:val="24"/>
          <w:szCs w:val="24"/>
        </w:rPr>
        <w:t>A Secr</w:t>
      </w:r>
      <w:r w:rsidR="00D566EB" w:rsidRPr="00260510">
        <w:rPr>
          <w:rFonts w:ascii="Arial" w:hAnsi="Arial" w:cs="Arial"/>
          <w:sz w:val="24"/>
          <w:szCs w:val="24"/>
        </w:rPr>
        <w:t xml:space="preserve">etaria Municipal de </w:t>
      </w:r>
      <w:r w:rsidRPr="00260510">
        <w:rPr>
          <w:rFonts w:ascii="Arial" w:hAnsi="Arial" w:cs="Arial"/>
          <w:sz w:val="24"/>
          <w:szCs w:val="24"/>
        </w:rPr>
        <w:t>Assistência Social informo</w:t>
      </w:r>
      <w:r w:rsidR="00CA115B" w:rsidRPr="00260510">
        <w:rPr>
          <w:rFonts w:ascii="Arial" w:hAnsi="Arial" w:cs="Arial"/>
          <w:sz w:val="24"/>
          <w:szCs w:val="24"/>
        </w:rPr>
        <w:t>u os valores estimados para 2019</w:t>
      </w:r>
      <w:r w:rsidRPr="00260510">
        <w:rPr>
          <w:rFonts w:ascii="Arial" w:hAnsi="Arial" w:cs="Arial"/>
          <w:sz w:val="24"/>
          <w:szCs w:val="24"/>
        </w:rPr>
        <w:t xml:space="preserve"> que foram mantidos, em termos reais, para os outros anos, exceto casos onde se informava o término do convênio.</w:t>
      </w:r>
    </w:p>
    <w:p w:rsidR="00932B02" w:rsidRPr="00260510" w:rsidRDefault="00932B02" w:rsidP="00932B02">
      <w:pPr>
        <w:pStyle w:val="Textopr-formatado"/>
        <w:jc w:val="both"/>
        <w:rPr>
          <w:rFonts w:ascii="Verdana" w:hAnsi="Verdana"/>
          <w:sz w:val="24"/>
          <w:szCs w:val="24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7E34C1" w:rsidRPr="00260510" w:rsidRDefault="007E34C1" w:rsidP="00E90883">
      <w:pPr>
        <w:jc w:val="center"/>
        <w:rPr>
          <w:rFonts w:ascii="Verdana" w:hAnsi="Verdana"/>
          <w:sz w:val="36"/>
          <w:szCs w:val="36"/>
        </w:rPr>
      </w:pPr>
    </w:p>
    <w:p w:rsidR="009220BD" w:rsidRPr="00260510" w:rsidRDefault="00006CE3" w:rsidP="0088217B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Anexo II</w:t>
      </w:r>
      <w:r w:rsidR="007607E6" w:rsidRPr="00260510">
        <w:rPr>
          <w:rFonts w:ascii="Verdana" w:hAnsi="Verdana"/>
          <w:b/>
          <w:sz w:val="36"/>
          <w:szCs w:val="36"/>
        </w:rPr>
        <w:t>I</w:t>
      </w:r>
    </w:p>
    <w:p w:rsidR="00006CE3" w:rsidRPr="00260510" w:rsidRDefault="0088217B" w:rsidP="0088217B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Receita Corrente Líquida</w:t>
      </w:r>
    </w:p>
    <w:tbl>
      <w:tblPr>
        <w:tblW w:w="1412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76"/>
        <w:gridCol w:w="2616"/>
        <w:gridCol w:w="2616"/>
        <w:gridCol w:w="2616"/>
      </w:tblGrid>
      <w:tr w:rsidR="00C70FD1" w:rsidRPr="00260510" w:rsidTr="00C70FD1">
        <w:trPr>
          <w:trHeight w:val="499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C70FD1" w:rsidRPr="00260510" w:rsidTr="00C70FD1">
        <w:trPr>
          <w:trHeight w:val="450"/>
        </w:trPr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  <w:t>2019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  <w:t>2020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32"/>
                <w:szCs w:val="32"/>
                <w:lang w:eastAsia="pt-BR"/>
              </w:rPr>
              <w:t>2021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Valores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Valores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 xml:space="preserve">Valores 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RECEITAS CORRENTES (I)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1.058.346.375,30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1.080.906.237,95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1.300.455.903,51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1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Impostos, Taxas e Contribuições de Melhoria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271.381.456,35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282.591.826,80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294.284.839,19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IPTU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100.120.000,00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104.124.800,00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108.289.792,00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ISS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101.120.000,00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105.164.800,20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109.371.391,53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ITBI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17.160.000,00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17.846.400,00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18.560.256,00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IRRF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14.151.323,15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14.717.376,08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15.306.071,12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Outras Receitas Tributárias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38.830.133,20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40.738.450,52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42.757.328,54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Contribuições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32.169.610,00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35.386.660,00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38.935.300,00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7.070.836,00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7.717.815,00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8.416.646,00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Receita de Concessões e Cessões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2.476.842,23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2.575.915,91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2.678.952,55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Receita de Serviços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134.259.052,00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140.860.342,08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148.081.215,76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1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Transferências Correntes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586.773.678,72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587.435.773,16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587.172.246,73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Cota-Parte do FPM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66.161.614,22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68.808.078,79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76.432.068,14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   FPM - cota Julho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2.944.155,76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3.061.921,99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3.061.921,99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   FPM - cota Dezembro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3.024.390,72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3.145.366,35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3.145.366,35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Cota-Parte do ICMS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112.138.925,60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116.624.482,62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122.341.748,57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Cota-Parte do IPVA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42.147.227,20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43.833.116,29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45.558.036,49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Cota-Parte do ITR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1.040.000,00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1.081.600,00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114.029,20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Cota-Parte IPI Exportação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1.805.529,70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1.877.750,89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1.658.501,00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lastRenderedPageBreak/>
              <w:t>Transferências da LC 87/1996 (Lei Kandir)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645.121,10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670.925,94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716.247,37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Transferências do FUNDEB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127.308.199,20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133.087.991,44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126.670.183,92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200" w:firstLine="48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Outras Transferências Correntes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229.558.515,22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215.244.538,85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207.474.143,70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Outras Receitas Correntes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24.214.900,00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24.337.905,00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220.886.703,28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DEDUÇÕES (II)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71.017.443,56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75.399.050,91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80.119.673,54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Contrib.do Servidor para o Plano de Previdência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25.629.760,00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28.192.860,00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31.022.100,00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Compensação Financ. entre Regimes Previdência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600.000,00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627.000,00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655.215,00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ind w:firstLineChars="100" w:firstLine="24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Dedução de Receita para Formação do FUNDEB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44.787.683,56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46.579.190,91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48.442.358,54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RECEITA CORRENTE LÍQUIDA (III) = (I – II)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987.328.931,74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1.005.507.187,04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1.220.336.229,97</w:t>
            </w:r>
          </w:p>
        </w:tc>
      </w:tr>
      <w:tr w:rsidR="00C70FD1" w:rsidRPr="00260510" w:rsidTr="00C70FD1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r w:rsidRPr="00260510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FONTE: Lei de Diretrizes Orçamentárias 2019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D1" w:rsidRPr="00260510" w:rsidRDefault="00C70FD1" w:rsidP="00C70FD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</w:tbl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E90883">
      <w:pPr>
        <w:jc w:val="center"/>
        <w:rPr>
          <w:rFonts w:ascii="Verdana" w:hAnsi="Verdana"/>
          <w:sz w:val="36"/>
          <w:szCs w:val="36"/>
        </w:rPr>
      </w:pPr>
    </w:p>
    <w:p w:rsidR="0088217B" w:rsidRPr="00260510" w:rsidRDefault="0088217B" w:rsidP="00E90883">
      <w:pPr>
        <w:jc w:val="center"/>
        <w:rPr>
          <w:rFonts w:ascii="Verdana" w:hAnsi="Verdana"/>
          <w:sz w:val="36"/>
          <w:szCs w:val="36"/>
        </w:rPr>
      </w:pPr>
    </w:p>
    <w:p w:rsidR="009E0237" w:rsidRPr="00260510" w:rsidRDefault="007607E6" w:rsidP="00006CE3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Anexo IV</w:t>
      </w:r>
    </w:p>
    <w:p w:rsidR="00006CE3" w:rsidRPr="00260510" w:rsidRDefault="00006CE3" w:rsidP="00006CE3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Metas de Resultado Nominal, Primário e Dívida Pública</w:t>
      </w:r>
    </w:p>
    <w:tbl>
      <w:tblPr>
        <w:tblW w:w="149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531"/>
        <w:gridCol w:w="1175"/>
        <w:gridCol w:w="1164"/>
        <w:gridCol w:w="940"/>
        <w:gridCol w:w="960"/>
        <w:gridCol w:w="1175"/>
        <w:gridCol w:w="1180"/>
        <w:gridCol w:w="880"/>
        <w:gridCol w:w="940"/>
        <w:gridCol w:w="1175"/>
        <w:gridCol w:w="1180"/>
        <w:gridCol w:w="840"/>
        <w:gridCol w:w="840"/>
      </w:tblGrid>
      <w:tr w:rsidR="00CD4547" w:rsidRPr="00260510" w:rsidTr="00CD4547">
        <w:trPr>
          <w:trHeight w:val="330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(LRF, art. 4º, § 1º)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R$ 1,00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Constante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PIB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RCL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Constante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PIB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RCL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Constante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PIB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% RCL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Corrente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 / PIB)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 / RCL)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Corrente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(b / PIB)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 / RCL)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Corrente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(c / PIB)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 / RCL)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(c)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x 100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 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1.142.534.700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1.095.956.547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0,2304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115,72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1.083.453.653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999.311.615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0,2040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107,75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1.118.511.280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991.967.917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0,1966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91,66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Receitas Primárias (I)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1.075.532.006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1.031.685.377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0,2169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108,93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1.037.299.053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1.037.299.053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0,1953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103,16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1.079.014.680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956.939.785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0,1897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88,42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1.138.834.700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1.092.407.386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0,2297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115,35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1.078.493.653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994.736.813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0,2031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107,26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1.096.761.280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972.678.614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0,1928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89,87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Despesas Primárias (II)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1.110.734.700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1.065.452.950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0,2240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112,50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1.048.303.653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966.891.397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0,1974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104,26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1.081.361.280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959.020.901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0,1901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88,61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Resultado Primário (III) = (I – II)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-35.202.695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-33.767.573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(0,0071)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(3,57)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-11.004.600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-10.149.972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(0,0021)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(1,09)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-2.346.600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-2.081.116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(0,0004)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(0,19)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Resultado Nominal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81.573.428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78.247.893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0,0165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8,26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124.849.306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-30.004.600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0,0235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12,42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149.345.906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132.449.579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0,0263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12,24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Dívida Pública Consolidada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444.824.605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426.690.269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0,0897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45,05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490.979.205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452.849.295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0,0924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48,83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515.475.805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457.157.178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0,0906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42,24 </w:t>
            </w:r>
          </w:p>
        </w:tc>
      </w:tr>
      <w:tr w:rsidR="00CD4547" w:rsidRPr="00260510" w:rsidTr="00CD4547">
        <w:trPr>
          <w:trHeight w:val="28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Dívida Consolidada Líquida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324.922.988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311.676.727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0,0655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32,91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327.801.710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302.344.318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0,0617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32,60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327.801.710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290.715.691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0,0576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26051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26,86 </w:t>
            </w:r>
          </w:p>
        </w:tc>
      </w:tr>
      <w:tr w:rsidR="00CD4547" w:rsidRPr="00260510" w:rsidTr="00CD4547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Receitas Primárias advindas de PPP (IV)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</w:tr>
      <w:tr w:rsidR="00CD4547" w:rsidRPr="00260510" w:rsidTr="00CD4547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Despesas Primárias geradas por PPP (V)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</w:tr>
      <w:tr w:rsidR="00CD4547" w:rsidRPr="00260510" w:rsidTr="00CD4547">
        <w:trPr>
          <w:trHeight w:val="4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Impacto do saldo das PPP = (IV - V)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</w:tr>
    </w:tbl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006CE3" w:rsidP="00006CE3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Memória e Metodologia de Cálculo do Resultado Primário</w:t>
      </w:r>
      <w:r w:rsidR="0087487B" w:rsidRPr="00260510">
        <w:rPr>
          <w:rFonts w:ascii="Verdana" w:hAnsi="Verdana"/>
          <w:b/>
          <w:sz w:val="36"/>
          <w:szCs w:val="36"/>
        </w:rPr>
        <w:t xml:space="preserve"> e Nominal</w:t>
      </w:r>
    </w:p>
    <w:tbl>
      <w:tblPr>
        <w:tblW w:w="130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416"/>
        <w:gridCol w:w="2196"/>
        <w:gridCol w:w="2196"/>
        <w:gridCol w:w="2196"/>
      </w:tblGrid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RREO - ANEXO 6 (LRF, art 53, inciso III)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ACIMA DA LINHA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2021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RECEITAS PRIMÁRIAS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RECEITAS CORRENTES (I)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1.013.558.691,74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1.034.327.047,04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1.077.901.737,69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Impostos, Taxas e Contribuições de Melhoria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271.381.456,35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282.591.826,80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294.284.839,19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IPTU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82.720.000,00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86.028.800,00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89.469.952,00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IPTU - Dívida Ativa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17.400.000,00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18.096.000,00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18.819.840,00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ISS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90.560.000,00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94.182.400,20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97.949.695,53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ISS - Dívida Ativa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10.560.000,00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10.982.400,00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11.421.696,00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ITBI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17.160.000,00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17.846.400,00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18.560.256,00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IRRF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14.151.323,15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14.717.376,08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15.306.071,12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Outros Impostos, Taxas e Contribuições de Melhoria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38.830.133,20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40.738.450,52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42.757.328,54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Contribuições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32.169.610,00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35.386.660,00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38.935.300,00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Receita Patrimonial 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9.547.678,23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10.293.730,91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11.095.598,55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Aplicações Financeiras (II)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Receitas Patrimoniais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9.547.678,23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10.293.730,91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11.095.598,55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ind w:firstLineChars="100" w:firstLine="160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Receitas de Serviços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134.259.052,00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140.860.342,08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148.081.215,76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ind w:firstLineChars="200" w:firstLine="320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Tarifa de água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76.880.000,00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80.705.000,00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84.760.000,00 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ind w:firstLineChars="200" w:firstLine="320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Tarifa de esgoto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38.478.000,00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40.350.000,00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42.350.000,00 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ind w:firstLineChars="200" w:firstLine="320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Outros Serviços diversos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18.901.052,00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19.805.342,08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                       20.971.215,76 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Transferências Correntes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541.985.995,16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540.856.582,25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559.949.109,99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Cota-Parte do FPM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66.161.614,22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68.808.078,79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71.560.401,94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Cota-Parte do ICMS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112.138.925,60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116.624.482,62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121.289.461,93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Cota-Parte do IPVA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42.147.227,20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43.833.116,29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45.586.440,94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Cota-Parte do ITR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1.040.000,00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1.081.600,00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1.124.864,00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Transferências da LC 87/1996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645.121,10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670.925,94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697.762,98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Transferências da LC 61/1989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Transferências do FUNDEB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127.308.199,20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133.087.991,44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138.837.392,67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Outras Transferências Correntes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192.544.907,84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176.750.387,17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180.852.785,53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lastRenderedPageBreak/>
              <w:t xml:space="preserve">    Demais Receitas Correntes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24.214.900,00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24.337.905,00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25.555.674,20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Receitas Financeiras (III)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Receitas Correntes Restantes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24.214.900,00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24.337.905,00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25.555.674,20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RECEITAS PRIMÁRIAS CORRENTES (IV) = (I - II - 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1.013.558.691,74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1.034.327.047,04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1.077.901.737,69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RECEITAS DE CAPITAL (V)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128.976.008,41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49.126.605,89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40.609.542,13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Operações de Crédito (VI)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67.002.694,43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46.154.600,00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39.496.600,00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Amortização de Empréstimos (VII)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Alienação de Bens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493.659,51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513.405,89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533.942,13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Receitas de Alienação de Investimentos Temporários (VIII)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Receitas de Alienação de Investimentos Permanentes (IX)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Alienações de Bens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493.659,51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513.405,89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533.942,13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Transferências de Capital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61.479.654,47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2.458.600,00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579.000,00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Convênios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Transferências de Capital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61.479.654,47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2.458.600,00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579.000,00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Outras Receitas de Capital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Receitas de Capital Não Primárias (X)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Outras Receitas de Capital Primárias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RECEITAS PRIMÁRIAS DE CAPITAL (XI) = (V - VI - VII - VIII - IX - 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61.973.313,98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2.972.005,89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1.112.942,13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RECEITA PRIMÁRIA TOTAL  (XII) = (IV + XI)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1.075.532.005,72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1.037.299.052,93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1.079.014.679,82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DESPESAS PRIMÁRIAS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DESPESAS CORRENTES (XIII)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943.156.042,70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918.345.099,14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920.270.671,33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442.369.158,00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438.582.382,20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466.268.972,80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Juros e Encargos da Dívida (XIV)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17.800.000,00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19.000.000,00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20.000.000,00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482.986.884,70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460.762.716,94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434.001.698,53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DESPESAS PRIMÁRIAS CORRENTES (XV) = (XIII - XIV)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925.356.042,70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899.345.099,14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900.270.671,33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DESPESAS DE CAPITAL (XVI)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195.678.657,55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160.148.553,79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192.890.608,49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181.478.657,55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144.848.553,79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176.490.608,49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Inversões Financeiras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400.000,00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Concessão de Empréstimos e Financiamentos (XVII)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Aquisição de Título de Capital já Integralizado (XVIII)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Aquisição de Título de Crédito (XIX)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Demais Inversões Financeiras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400.000,00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lastRenderedPageBreak/>
              <w:t xml:space="preserve">    Amortização da Dívida (XX)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14.000.000,00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15.000.000,00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16.000.000,00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DESPESAS PRIMÁRIAS DE CAPITAL (XXI) = (XVI - XVII - XVIII - XIX - XX)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181.678.657,55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145.148.553,79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176.890.608,49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RESERVA DE CONTINGÊNCIA (XXII)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3.700.000,00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3.810.000,00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4.200.000,00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DESPESA PRIMÁRIA TOTAL (XXIII) = (XV + XXI + XXII)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1.110.734.700,25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1.048.303.652,93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1.081.361.279,82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RESULTADO PRIMÁRIO - Acima da Linha (XXIV) = (XII - XXIII)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-35.202.694,53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-11.004.600,00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-2.346.600,00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JUROS NOMINAIS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JUROS E ENCARGOS ATIVOS (XXV)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JUROS E ENCARGOS PASSIVOS (XXVI)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17.800.000,00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19.000.000,00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20.000.000,00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RESULTADO NOMINAL - Acima da Linha (XXVII) =  (XXIV + (XXV - XXVI))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-53.002.694,53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-30.004.600,00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-22.346.600,00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1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ABAIXO DA LINHA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CÁLCULO DO RESULTADO NOMINAL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DÍVIDA CONSOLIDADA (XXVIII)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444.824.605,20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490.979.205,20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515.475.805,20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DEDUÇÕES (XXIX)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38.328.188,87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38.328.188,87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38.328.188,87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Disponibilidade de Caixa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35.829.043,99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35.829.043,99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35.829.043,99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Disponibilidade de Caixa Bruta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45.401.069,05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45.401.069,05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45.401.069,05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     (-) Restos a Pagar Processados (XXXb)  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9.572.025,06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9.572.025,06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9.572.025,06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Demais Haveres Financeiros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2.499.144,88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2.499.144,88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2.499.144,88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DÍVIDA CONSOLIDADA LÍQUIDA de 2019 (XXXIa) = (XXVIII - XXIX)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406.496.416,33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452.651.016,33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477.147.616,33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DÍVIDA CONSOLIDADA LÍQUIDA - do Exercício Anterior (XXXIb)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324.922.987,94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327.801.710,00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327.801.710,00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RESULTADO NOMINAL - Abaixo da Linha (XXXII) = (XXXIa - XXXIb)</w:t>
            </w: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81.573.428,39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124.849.306,33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149.345.906,33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AJUSTE METODOLÓGICO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PROJEÇÃO (R$)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VARIAÇÃO SALDO RPP = (XXXIII) = (XXXa - XXXb)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5.965.893,66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6.072.025,06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5.472.025,06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 xml:space="preserve">      Restos a Pagar Processados (saldo exercício anterior) (XXXa)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3.606.131,40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3.500.000,00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4.100.000,00</w:t>
            </w:r>
          </w:p>
        </w:tc>
      </w:tr>
      <w:tr w:rsidR="00CD4547" w:rsidRPr="00260510" w:rsidTr="00CD4547">
        <w:trPr>
          <w:trHeight w:val="255"/>
        </w:trPr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RECEITA DE ALIENAÇÃO DE INVESTIMENTOS PERMANENTES (IX)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PASSIVOS RECONHECIDOS NA DC (XXXIV)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0,00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RESULTADO NOMINAL AJUSTADO - Abaixo da Linha (XXXV) = (XXXII + XXXIII - IX -XXXIV)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87.539.223,05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130.921.232,39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154.817.832,39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547" w:rsidRPr="00260510" w:rsidRDefault="00CD4547" w:rsidP="00CD454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 </w:t>
            </w:r>
          </w:p>
        </w:tc>
      </w:tr>
      <w:tr w:rsidR="00CD4547" w:rsidRPr="00260510" w:rsidTr="00CD4547">
        <w:trPr>
          <w:trHeight w:val="270"/>
        </w:trPr>
        <w:tc>
          <w:tcPr>
            <w:tcW w:w="6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pt-BR"/>
              </w:rPr>
              <w:t>RESULTADO PRIMÁRIO - Abaixo da Linha (XXXVI) = XXXV - (XXV - XXVI)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105.339.223,05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149.921.232,39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CD4547" w:rsidRPr="00260510" w:rsidRDefault="00CD4547" w:rsidP="00CD454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</w:pPr>
            <w:r w:rsidRPr="00260510">
              <w:rPr>
                <w:rFonts w:ascii="Calibri" w:eastAsia="Times New Roman" w:hAnsi="Calibri" w:cs="Arial"/>
                <w:sz w:val="16"/>
                <w:szCs w:val="16"/>
                <w:lang w:eastAsia="pt-BR"/>
              </w:rPr>
              <w:t>174.817.832,39</w:t>
            </w:r>
          </w:p>
        </w:tc>
      </w:tr>
    </w:tbl>
    <w:p w:rsidR="005B04C8" w:rsidRPr="00260510" w:rsidRDefault="005B04C8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CD4547" w:rsidRPr="00260510" w:rsidRDefault="00CD4547" w:rsidP="00006CE3">
      <w:pPr>
        <w:jc w:val="center"/>
        <w:rPr>
          <w:rFonts w:ascii="Verdana" w:hAnsi="Verdana"/>
          <w:sz w:val="36"/>
          <w:szCs w:val="36"/>
        </w:rPr>
      </w:pPr>
    </w:p>
    <w:p w:rsidR="009E0237" w:rsidRPr="00260510" w:rsidRDefault="009E0237" w:rsidP="00006CE3">
      <w:pPr>
        <w:jc w:val="center"/>
        <w:rPr>
          <w:rFonts w:ascii="Verdana" w:hAnsi="Verdana"/>
          <w:sz w:val="36"/>
          <w:szCs w:val="36"/>
        </w:rPr>
      </w:pPr>
    </w:p>
    <w:p w:rsidR="00006CE3" w:rsidRPr="00260510" w:rsidRDefault="0098787D" w:rsidP="00006CE3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Avaliação do Cumprimento das Metas Fiscais do Exercício Anterior</w:t>
      </w:r>
    </w:p>
    <w:tbl>
      <w:tblPr>
        <w:tblW w:w="13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368"/>
        <w:gridCol w:w="1668"/>
        <w:gridCol w:w="948"/>
        <w:gridCol w:w="1068"/>
        <w:gridCol w:w="1628"/>
        <w:gridCol w:w="1008"/>
        <w:gridCol w:w="1008"/>
        <w:gridCol w:w="1368"/>
        <w:gridCol w:w="1256"/>
      </w:tblGrid>
      <w:tr w:rsidR="002F14FD" w:rsidRPr="00260510" w:rsidTr="002F14FD">
        <w:trPr>
          <w:trHeight w:val="255"/>
        </w:trPr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(LRF, art. 4º, § 2º, inciso I)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R$ 1,00 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Metas Previstas 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em 2017 (a)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PIB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RCL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Metas Realizadas 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em 2017 (b)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PIB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RCL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Variação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Valor            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 xml:space="preserve"> (c) = (b-a)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%           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(c/a) x 100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Total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1.096.642.824,00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0,2498%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126,00%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858.749.572,68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0,1993%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130,41%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-237.893.251,32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-21,69%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Primárias (I)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974.323.431,00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0,2219%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111,94%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817.355.383,89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0,1897%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124,13%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-156.968.047,11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-16,11%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 Total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1.075.079.880,00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0,2448%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123,52%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772.575.416,68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0,1793%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117,33%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-302.504.463,32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-28,14%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Primárias (II)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1.068.415.824,00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0,2433%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122,75%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752.938.457,38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0,1747%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114,34%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-315.477.366,62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-29,53%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Primário (III) = (I–II)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117.482.742,00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0,0268%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13,50%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64.416.926,51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0,0149%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9,78%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-53.065.815,49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-45,17%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Nominal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-79.579.493,00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-0,0181%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-9,14%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-102.573.024,14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-0,0238%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-15,58%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-22.993.531,14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28,89%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Dívida Pública Consolidada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380.343.541,00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0,0866%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43,70%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416.926.587,01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0,0968%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63,32%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36.583.046,01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9,62%</w:t>
            </w:r>
          </w:p>
        </w:tc>
      </w:tr>
      <w:tr w:rsidR="002F14FD" w:rsidRPr="00260510" w:rsidTr="002F14FD">
        <w:trPr>
          <w:trHeight w:val="342"/>
        </w:trPr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Consolidada Líquida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153.908.153,00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0,0351%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17,68%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228.074.879,60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0,0529%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34,64%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74.166.726,60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14FD" w:rsidRPr="00260510" w:rsidRDefault="002F14FD" w:rsidP="002F14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48,19%</w:t>
            </w:r>
          </w:p>
        </w:tc>
      </w:tr>
      <w:tr w:rsidR="002F14FD" w:rsidRPr="00260510" w:rsidTr="002F14FD">
        <w:trPr>
          <w:trHeight w:val="342"/>
        </w:trPr>
        <w:tc>
          <w:tcPr>
            <w:tcW w:w="13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4FD" w:rsidRPr="00260510" w:rsidRDefault="002F14FD" w:rsidP="002F14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FONTE: Lei Orçamentária Anual 2017, Balanço Geral 2017, RREO 6º bimestre 2017</w:t>
            </w:r>
          </w:p>
        </w:tc>
      </w:tr>
    </w:tbl>
    <w:p w:rsidR="00006CE3" w:rsidRPr="00260510" w:rsidRDefault="00006CE3"/>
    <w:p w:rsidR="00006CE3" w:rsidRPr="00260510" w:rsidRDefault="00006CE3"/>
    <w:p w:rsidR="002F14FD" w:rsidRPr="00260510" w:rsidRDefault="002F14FD"/>
    <w:p w:rsidR="00006CE3" w:rsidRPr="00260510" w:rsidRDefault="00006CE3"/>
    <w:p w:rsidR="00006CE3" w:rsidRPr="00260510" w:rsidRDefault="00006CE3"/>
    <w:p w:rsidR="0098787D" w:rsidRPr="00260510" w:rsidRDefault="0098787D" w:rsidP="0098787D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Metas Fiscais Atuais Comparadas com as Fixadas nos Três Exercício</w:t>
      </w:r>
      <w:r w:rsidR="002F27F6" w:rsidRPr="00260510">
        <w:rPr>
          <w:rFonts w:ascii="Verdana" w:hAnsi="Verdana"/>
          <w:b/>
          <w:sz w:val="36"/>
          <w:szCs w:val="36"/>
        </w:rPr>
        <w:t>s</w:t>
      </w:r>
      <w:r w:rsidRPr="00260510">
        <w:rPr>
          <w:rFonts w:ascii="Verdana" w:hAnsi="Verdana"/>
          <w:b/>
          <w:sz w:val="36"/>
          <w:szCs w:val="36"/>
        </w:rPr>
        <w:t xml:space="preserve"> Anteriores</w:t>
      </w:r>
    </w:p>
    <w:tbl>
      <w:tblPr>
        <w:tblW w:w="149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493"/>
        <w:gridCol w:w="1253"/>
        <w:gridCol w:w="1316"/>
        <w:gridCol w:w="896"/>
        <w:gridCol w:w="1396"/>
        <w:gridCol w:w="916"/>
        <w:gridCol w:w="1456"/>
        <w:gridCol w:w="796"/>
        <w:gridCol w:w="1396"/>
        <w:gridCol w:w="816"/>
        <w:gridCol w:w="1416"/>
        <w:gridCol w:w="836"/>
      </w:tblGrid>
      <w:tr w:rsidR="00260510" w:rsidRPr="00260510" w:rsidTr="0026051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(LRF, art. 4º, § 2º, inciso II)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R$ 1,00 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24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VALORES A PREÇOS CORRENTES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2018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Total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750.470.812,99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858.749.572,68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14,4281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1.141.737.601,26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32,9535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1.142.534.700,15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1.083.453.652,93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-5,1711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1.118.511.279,82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3,2357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Primárias (I)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709.076.624,20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817.355.383,89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15,2704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1.021.979.896,04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25,0350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1.075.532.005,72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1,0524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1.037.299.052,93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-3,5548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1.079.014.679,82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4,0216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 Total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747.589.415,19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772.575.416,68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3,3422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1.117.508.128,57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44,6471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1.138.834.700,25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1,0191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1.063.193.652,93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-6,6420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1.096.761.279,82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3,1572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Primárias (II)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731.826.635,26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752.938.457,38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2,8848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1.113.737.601,26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47,9188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1.110.734.700,25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0,9973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1.048.303.652,93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-5,6207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1.081.361.279,82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3,1534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Primário (III) = (I - II)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-22.750.011,06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64.416.926,51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-383,1512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-91.757.705,22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-242,4435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-35.202.694,53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0,3836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-11.004.600,00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-68,7393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-2.346.600,00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-78,6762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Nominal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17.099.969,35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-102.573.024,14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-699,8433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94.554.295,01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-192,1824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81.573.428,39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0,8627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124.849.306,33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53,0514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149.345.906,33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19,6209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Pública Consolidada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271.597.653,26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416.926.587,01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53,5089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461.723.401,00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10,7445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444.824.605,20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0,9634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490.979.205,20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10,3759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515.475.805,20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4,9893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Consolidada Líquida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47.911.506,71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228.074.879,60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376,0336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215.109.424,00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-5,6847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324.922.987,94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1,5105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327.801.710,00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0,8860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327.801.710,00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0,0000</w:t>
            </w:r>
          </w:p>
        </w:tc>
      </w:tr>
      <w:tr w:rsidR="00260510" w:rsidRPr="00260510" w:rsidTr="00260510">
        <w:trPr>
          <w:trHeight w:val="282"/>
        </w:trPr>
        <w:tc>
          <w:tcPr>
            <w:tcW w:w="14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24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VALORES A PREÇOS CONSTANTES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2018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Total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810.919.736,03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889.664.557,30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9,7106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1.141.737.601,26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28,3335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1.095.956.546,91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-4,0098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999.311.614,95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-8,8183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991.967.916,63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-0,7349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Primárias (I)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766.191.328,13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846.780.177,71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10,5181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1.021.979.896,04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20,6901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1.031.685.377,19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0,9497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956.741.424,95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-7,2642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956.939.785,29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0,0207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 Total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807.806.247,40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800.388.131,68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-0,9183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1.117.508.128,57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39,6208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1.092.407.386,33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-2,2461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980.625.025,76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-10,2327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972.678.614,35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-0,8103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Primárias (II)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790.773.807,08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780.044.241,85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-1,3568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1.113.737.601,26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42,7788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1.065.452.949,88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-4,3354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966.891.397,28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-9,2507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959.020.901,46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-0,8140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Resultado Primário (III) = (I - II)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-24.582.478,95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66.735.935,86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-371,4776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-91.757.705,22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-237,4937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-33.767.572,69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-63,1992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-10.149.972,33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-69,9417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-2.081.116,17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-79,4963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Resultado Nominal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18.477.337,68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-106.265.653,01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-675,1134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94.554.295,01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-188,9792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78.247.892,94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-17,2455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115.153.390,82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47,1648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132.449.578,50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15,0201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Pública Consolidada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293.474.301,03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431.935.944,14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47,1802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461.723.401,00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6,8963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426.690.268,78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-7,5875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452.849.294,60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6,1307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457.157.178,28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0,9513</w:t>
            </w:r>
          </w:p>
        </w:tc>
      </w:tr>
      <w:tr w:rsidR="00260510" w:rsidRPr="00260510" w:rsidTr="00260510">
        <w:trPr>
          <w:trHeight w:val="282"/>
        </w:trPr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Consolidada Líquida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51.770.682,75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236.285.575,27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356,4081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215.109.424,00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-8,9621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311.676.727,04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44,8922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302.344.318,39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-2,9943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290.715.690,76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510" w:rsidRPr="00260510" w:rsidRDefault="00260510" w:rsidP="00260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-3,8462</w:t>
            </w:r>
          </w:p>
        </w:tc>
      </w:tr>
      <w:tr w:rsidR="00260510" w:rsidRPr="00260510" w:rsidTr="00260510">
        <w:trPr>
          <w:trHeight w:val="282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FONTE: IPCA de 2016 e de 2017 cfe.site do IBFE e 2019 a 2021 cfe.projeção da LDO da União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10" w:rsidRPr="00260510" w:rsidRDefault="00260510" w:rsidP="0026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260510" w:rsidRPr="00260510" w:rsidRDefault="00260510" w:rsidP="0098787D">
      <w:pPr>
        <w:jc w:val="center"/>
        <w:rPr>
          <w:rFonts w:ascii="Verdana" w:hAnsi="Verdana"/>
          <w:sz w:val="36"/>
          <w:szCs w:val="36"/>
        </w:rPr>
      </w:pPr>
    </w:p>
    <w:p w:rsidR="00260510" w:rsidRPr="00260510" w:rsidRDefault="00260510" w:rsidP="00F71F8E">
      <w:pPr>
        <w:jc w:val="center"/>
        <w:rPr>
          <w:rFonts w:ascii="Verdana" w:hAnsi="Verdana"/>
          <w:sz w:val="36"/>
          <w:szCs w:val="36"/>
        </w:rPr>
      </w:pPr>
    </w:p>
    <w:p w:rsidR="002F27F6" w:rsidRPr="00260510" w:rsidRDefault="002F27F6" w:rsidP="00F71F8E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Evolução do Patrimônio Líquido</w:t>
      </w:r>
    </w:p>
    <w:tbl>
      <w:tblPr>
        <w:tblW w:w="12196" w:type="dxa"/>
        <w:tblInd w:w="911" w:type="dxa"/>
        <w:tblCellMar>
          <w:left w:w="70" w:type="dxa"/>
          <w:right w:w="70" w:type="dxa"/>
        </w:tblCellMar>
        <w:tblLook w:val="04A0"/>
      </w:tblPr>
      <w:tblGrid>
        <w:gridCol w:w="3400"/>
        <w:gridCol w:w="1809"/>
        <w:gridCol w:w="1082"/>
        <w:gridCol w:w="1809"/>
        <w:gridCol w:w="1108"/>
        <w:gridCol w:w="1809"/>
        <w:gridCol w:w="1179"/>
      </w:tblGrid>
      <w:tr w:rsidR="00F71F8E" w:rsidRPr="00260510" w:rsidTr="00F71F8E">
        <w:trPr>
          <w:trHeight w:val="368"/>
        </w:trPr>
        <w:tc>
          <w:tcPr>
            <w:tcW w:w="121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 xml:space="preserve">  ADMINISTRAÇÃO DIRETA E INDIRETA</w:t>
            </w:r>
          </w:p>
        </w:tc>
      </w:tr>
      <w:tr w:rsidR="00F71F8E" w:rsidRPr="00260510" w:rsidTr="00F71F8E">
        <w:trPr>
          <w:trHeight w:val="368"/>
        </w:trPr>
        <w:tc>
          <w:tcPr>
            <w:tcW w:w="12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F71F8E" w:rsidRPr="00260510" w:rsidTr="00F71F8E">
        <w:trPr>
          <w:trHeight w:val="368"/>
        </w:trPr>
        <w:tc>
          <w:tcPr>
            <w:tcW w:w="12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209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(LRF, art. 4º, § 2º, inciso III)</w:t>
            </w:r>
          </w:p>
        </w:tc>
        <w:tc>
          <w:tcPr>
            <w:tcW w:w="108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180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110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180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11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R$ 1,00 </w:t>
            </w: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PATRIMÔNIO LÍQUIDO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Patrimônio/Capital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201.223.739,76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33,40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209.700.491,13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44,62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183.271.123,89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37,92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Reservas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22.339.538,97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15.488.837,01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2.958.363,24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0,61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Resultado Acumulado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378.953.832,75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62,90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244.796.944,93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52,09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297.024.575,08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61,46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602.517.111,48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469.986.273,07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483.254.062,21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25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25"/>
        </w:trPr>
        <w:tc>
          <w:tcPr>
            <w:tcW w:w="12196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REGIME PREVIDENCIÁRIO</w:t>
            </w:r>
          </w:p>
        </w:tc>
      </w:tr>
      <w:tr w:rsidR="00F71F8E" w:rsidRPr="00260510" w:rsidTr="00F71F8E">
        <w:trPr>
          <w:trHeight w:val="225"/>
        </w:trPr>
        <w:tc>
          <w:tcPr>
            <w:tcW w:w="12196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PATRIMÔNIO LÍQUIDO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%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Patrimônio/Capital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23.137.303,77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60,80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23.137.303,77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64,76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23.137.303,77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104,76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Reservas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Resultado Acumulado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14.914.605,91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39,20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12.592.477,18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35,24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-1.051.796,22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-4,76</w:t>
            </w:r>
          </w:p>
        </w:tc>
      </w:tr>
      <w:tr w:rsidR="00F71F8E" w:rsidRPr="00260510" w:rsidTr="00F71F8E">
        <w:trPr>
          <w:trHeight w:val="342"/>
        </w:trPr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38.051.909,68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35.729.780,95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22.085.507,55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100,00</w:t>
            </w:r>
          </w:p>
        </w:tc>
      </w:tr>
      <w:tr w:rsidR="00F71F8E" w:rsidRPr="00260510" w:rsidTr="00F71F8E">
        <w:trPr>
          <w:trHeight w:val="342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FONTE: Balanço Patrimonial 2015, 2016 e 2017</w:t>
            </w:r>
          </w:p>
        </w:tc>
      </w:tr>
    </w:tbl>
    <w:p w:rsidR="00F71F8E" w:rsidRPr="00260510" w:rsidRDefault="00F71F8E" w:rsidP="002F27F6">
      <w:pPr>
        <w:jc w:val="center"/>
        <w:rPr>
          <w:rFonts w:ascii="Verdana" w:hAnsi="Verdana"/>
          <w:sz w:val="36"/>
          <w:szCs w:val="36"/>
        </w:rPr>
      </w:pPr>
    </w:p>
    <w:p w:rsidR="00260510" w:rsidRDefault="00260510" w:rsidP="002F27F6">
      <w:pPr>
        <w:jc w:val="center"/>
        <w:rPr>
          <w:rFonts w:ascii="Verdana" w:hAnsi="Verdana"/>
          <w:sz w:val="36"/>
          <w:szCs w:val="36"/>
        </w:rPr>
      </w:pPr>
    </w:p>
    <w:p w:rsidR="002F27F6" w:rsidRPr="00260510" w:rsidRDefault="002F27F6" w:rsidP="002F27F6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Origem e Aplicação dos Recursos Obtidos com a Alienação de Ativos</w:t>
      </w:r>
    </w:p>
    <w:tbl>
      <w:tblPr>
        <w:tblW w:w="137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680"/>
        <w:gridCol w:w="2700"/>
        <w:gridCol w:w="2700"/>
        <w:gridCol w:w="2700"/>
      </w:tblGrid>
      <w:tr w:rsidR="00552B59" w:rsidRPr="00260510" w:rsidTr="00552B59">
        <w:trPr>
          <w:trHeight w:val="255"/>
        </w:trPr>
        <w:tc>
          <w:tcPr>
            <w:tcW w:w="56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(LRF, art. 4º, § 2º, inciso III)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R$ 1,00 </w:t>
            </w:r>
          </w:p>
        </w:tc>
      </w:tr>
      <w:tr w:rsidR="00552B59" w:rsidRPr="00260510" w:rsidTr="00552B59">
        <w:trPr>
          <w:trHeight w:val="225"/>
        </w:trPr>
        <w:tc>
          <w:tcPr>
            <w:tcW w:w="56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 REALIZADAS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(a)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(b)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(c )</w:t>
            </w:r>
          </w:p>
        </w:tc>
      </w:tr>
      <w:tr w:rsidR="00552B59" w:rsidRPr="00260510" w:rsidTr="00552B59">
        <w:trPr>
          <w:trHeight w:val="315"/>
        </w:trPr>
        <w:tc>
          <w:tcPr>
            <w:tcW w:w="56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DE CAPITAL – ALIENAÇÃO DE ATIVOS (I)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442.231,16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292.658,94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135.390,18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Alienação de Bens Móveis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78.050,44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90.360,00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62.205,00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Alienação de Bens Imóveis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364.180,72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202.298,94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73.185,18</w:t>
            </w:r>
          </w:p>
        </w:tc>
      </w:tr>
      <w:tr w:rsidR="00552B59" w:rsidRPr="00260510" w:rsidTr="00552B59">
        <w:trPr>
          <w:trHeight w:val="282"/>
        </w:trPr>
        <w:tc>
          <w:tcPr>
            <w:tcW w:w="1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 EXECUTADAS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(d)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(e)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(f)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APLICAÇÃO DOS RECURSOS DA ALIENAÇÃO DE ATIVOS (II)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78.050,44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51.750,00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73.185,18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DESPESAS DE CAPITAL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78.050,44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51.750,00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73.185,18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Investimentos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78.050,44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51.750,00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73.185,18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Inversões Financeiras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Amortização da Dívida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DESPESAS CORRENTES DOS REGIMES DE PREVIDENCIA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Regime Geral de Previdência Social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40"/>
        </w:trPr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Regimes Próprios dos Servidores Públicos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70"/>
        </w:trPr>
        <w:tc>
          <w:tcPr>
            <w:tcW w:w="1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52B59" w:rsidRPr="00260510" w:rsidTr="00552B59">
        <w:trPr>
          <w:trHeight w:val="270"/>
        </w:trPr>
        <w:tc>
          <w:tcPr>
            <w:tcW w:w="56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SALDO FINANCEIRO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(g) = ((Ia – IId) + IIIh)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(h) = ((Ib – IIe) + IIIi)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(i) = (Ic – IIf)</w:t>
            </w: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52B59" w:rsidRPr="00260510" w:rsidTr="00552B59">
        <w:trPr>
          <w:trHeight w:val="282"/>
        </w:trPr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(III)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648.116,64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283.935,92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:rsidR="00552B59" w:rsidRPr="00260510" w:rsidRDefault="00552B59" w:rsidP="00552B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43.026,98</w:t>
            </w:r>
          </w:p>
        </w:tc>
      </w:tr>
      <w:tr w:rsidR="00552B59" w:rsidRPr="00260510" w:rsidTr="00552B59">
        <w:trPr>
          <w:trHeight w:val="282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B59" w:rsidRPr="00260510" w:rsidRDefault="00552B59" w:rsidP="00552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FONTE: Balanço Geral dos exercícios 2015-2016-2017</w:t>
            </w:r>
          </w:p>
        </w:tc>
      </w:tr>
    </w:tbl>
    <w:p w:rsidR="002F27F6" w:rsidRPr="00260510" w:rsidRDefault="002F27F6" w:rsidP="002F27F6">
      <w:pPr>
        <w:jc w:val="center"/>
      </w:pPr>
    </w:p>
    <w:p w:rsidR="00F71F8E" w:rsidRPr="00260510" w:rsidRDefault="00F71F8E"/>
    <w:p w:rsidR="00F71F8E" w:rsidRPr="00260510" w:rsidRDefault="00F71F8E"/>
    <w:p w:rsidR="00006CE3" w:rsidRPr="00260510" w:rsidRDefault="00371945" w:rsidP="00AC5106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A</w:t>
      </w:r>
      <w:r w:rsidR="002F27F6" w:rsidRPr="00260510">
        <w:rPr>
          <w:rFonts w:ascii="Verdana" w:hAnsi="Verdana"/>
          <w:b/>
          <w:sz w:val="36"/>
          <w:szCs w:val="36"/>
        </w:rPr>
        <w:t>valiação da Situaç</w:t>
      </w:r>
      <w:r w:rsidR="00AC5106" w:rsidRPr="00260510">
        <w:rPr>
          <w:rFonts w:ascii="Verdana" w:hAnsi="Verdana"/>
          <w:b/>
          <w:sz w:val="36"/>
          <w:szCs w:val="36"/>
        </w:rPr>
        <w:t>ão Financeira e Atuarial do RPPS</w:t>
      </w:r>
    </w:p>
    <w:tbl>
      <w:tblPr>
        <w:tblW w:w="1453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800"/>
        <w:gridCol w:w="2217"/>
        <w:gridCol w:w="2772"/>
        <w:gridCol w:w="2767"/>
        <w:gridCol w:w="976"/>
      </w:tblGrid>
      <w:tr w:rsidR="00F71F8E" w:rsidRPr="00260510" w:rsidTr="00B16E29">
        <w:trPr>
          <w:trHeight w:val="270"/>
        </w:trPr>
        <w:tc>
          <w:tcPr>
            <w:tcW w:w="13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 E DESPESAS PREVIDENCIÁRIOS DO REGIME PRÓPRIO DE PREVIDÊNCIA DOS SERVIDORES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B16E29">
        <w:trPr>
          <w:trHeight w:val="270"/>
        </w:trPr>
        <w:tc>
          <w:tcPr>
            <w:tcW w:w="13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PLANO PREVIDENCIÁRIO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B16E29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 PREVIDENCIÁRIAS - RPPS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B16E29">
        <w:trPr>
          <w:trHeight w:val="255"/>
        </w:trPr>
        <w:tc>
          <w:tcPr>
            <w:tcW w:w="5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CORRENTES (I)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25.435.377,97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            36.065.918,51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            33.474.858,15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Receita de Contribuições dos Segurados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7.024.892,90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8.615.155,38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7.024.892,90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8.615.155,38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7.023.526,90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20.472.536,79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10.360.133,31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1.366,00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Receita de Contribuições Patronais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10.424.868,02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12.512.382,67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18.008.662,60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10.424.868,02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12.512.382,67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18.008.662,60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10.424.868,02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12.512.382,67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18.008.662,60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 Regime de Parcelamento de Débitos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Patrimonial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7.977.722,85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14.888.710,07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15.405.521,45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Imobiliárias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de Valores Mobiliários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7.977.722,85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14.888.710,07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15.405.521,45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Patrimoniais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de Serviços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Receita de Aporte Periódico de Valores Predefinidos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7.894,20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49.670,39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60.674,10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Compensação Previdenciária do RGPS para o RPPS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Demais Receitas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7.894,20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49.670,39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60.674,10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DE CAPITAL (II)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Alienação de Bens, Direitos e Ativos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Amortização de Empréstimos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de Capital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DAS RECEITAS PREVIDENCIÁRIAS RPPS - (III) = (I + II)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25.435.377,97 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36.065.918,51 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33.474.858,15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 PREVIDENCIÁRIAS -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ADMINISTRAÇÃO (IV)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1.324.986,69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1.522.169,12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2.742.290,59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1.308.847,29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1.505.127,82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2.738.899,59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16.139,40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17.041,30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3.391,00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PREVIDÊNCIA (V)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442.167,90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581.879,69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3.044.321,27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Benefícios - 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405.075,90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538.781,69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3.044.321,27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Aposentadorias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74.670,04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130.599,38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Pensões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330.405,86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408.182,31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Outros Benefícios Previdenciários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3.044.321,27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Benefícios - 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Reformas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Pensões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Outros Benefícios Previdenciários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Despesas Previdenciárias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37.092,00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43.098,00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Compensação Previdenciária do RPPS para o RGPS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Demais Despesas Previdenciárias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37.092,00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43.098,00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DAS DESPESAS PREVIDENCIÁRIAS RPPS (VI) = (IV + V)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1.767.154,59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2.104.048,81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5.786.611,86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PREVIDENCIÁRIO (VII) = (III – VI)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23.668.223,38 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33.961.869,70 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27.688.246,29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RECURSOS RPPS ARRECADADOS EM EXERCÍCIOS ANTERIORES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RESERVA ORÇAMENTÁRIA DO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APORTES DE RECURSOS PARA O PLANO PREVIDENCIÁRIO DO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Amortização - Contribuição Patronal Suplementar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Amortização - Aporte Periódico de Valores Predefinidos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Outros Aportes para o RPPS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110.000,00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Recursos para Cobertura de Déficit Financeiro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BENS E DIREITOS DO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Caixa e Equivalentes de Caixa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21.923,84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55.654,87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1.268.976,47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Investimentos e Aplicações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75.836.834,13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34.080.978,17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77.424.357,82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 Bens e Direitos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429.986,32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78.117.797,92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69.648.899,35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13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PLANO FINANCEIRO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 PREVIDENCIÁRIAS - RPPS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CORRENTES (VIII)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27.540.284,97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            27.767.310,61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                                13.199.342,93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de Contribuições dos Segurados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11.551.555,44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11.857.381,41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12.450.125,81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11.551.555,44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11.857.381,41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12.450.125,81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11.319.903,61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11.626.164,92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12.140.449,36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195.119,76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186.786,95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264.461,45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36.532,07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44.429,54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45.215,00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de Contribuições Patronais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15.380.639,66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15.253.215,41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15.380.639,66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15.253.215,41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15.000.128,05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14.886.512,79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315.970,11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288.385,48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64.541,50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78.317,14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Inativo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Pensionista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Em Regime de Parcelamento de Débitos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Patrimonial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32.506,98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17.588,38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95.159,15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Imobiliárias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de Valores Mobiliários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32.506,98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17.588,38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95.159,15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Patrimoniais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 de Serviços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575.582,89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639.125,41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654.057,97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Compensação Previdenciária do RGPS para o RPPS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572.439,77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567.808,20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584.429,71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Demais Receitas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3.143,12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71.317,21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69.628,26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RECEITAS DE CAPITAL (IX)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Alienação de Bens, Direitos e Ativos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Amortização de Empréstimos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Receitas de Capital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DAS RECEITAS PREVIDENCIÁRIAS RPPS - (X) = (VIII + IX)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27.540.284,97 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27.767.310,61 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13.199.342,93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 PREVIDENCIÁRIAS -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ADMINISTRAÇÃO (XI)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PREVIDÊNCIA (XII)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48.100.024,67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56.060.741,64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71.578.363,24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Benefícios - Civil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47.795.076,38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55.745.409,18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71.124.793,60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Aposentadorias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38.762.180,82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45.589.689,92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Pensões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9.032.895,56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10.155.719,26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Outros Benefícios Previdenciários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Benefícios - Militar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Reformas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Pensões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Outros Benefícios Previdenciários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Outras Despesas Previdenciárias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304.948,29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315.332,46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453.569,64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Compensação Previdenciária do RPPS para o RGPS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182.267,22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98.277,30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Demais Despesas Previdenciárias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122.681,07 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217.055,16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DAS DESPESAS PREVIDENCIÁRIAS RPPS (XIII) = (XI + XII)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48.100.024,67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56.060.741,64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71.578.363,24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 PREVIDENCIÁRIO (XIV) = (X – XIII)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-                     20.559.739,70 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-                                 28.293.431,03 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-                                 58.379.020,31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APORTES DE RECURSOS PARA O PLANO FINANCEIRO DO RPPS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Recursos para Cobertura de Insuficiências Financeiras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15.843.450,00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27.795.918,52 </w:t>
            </w:r>
          </w:p>
        </w:tc>
        <w:tc>
          <w:tcPr>
            <w:tcW w:w="27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38.032.890,54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Recursos para Formação de Reserva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- 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-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71F8E" w:rsidRPr="00260510" w:rsidTr="00F71F8E">
        <w:trPr>
          <w:trHeight w:val="27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F8E" w:rsidRPr="00260510" w:rsidRDefault="00B16E29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Fonte: PREVPEL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F8E" w:rsidRPr="00260510" w:rsidRDefault="00F71F8E" w:rsidP="00F71F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3D6C71" w:rsidRPr="00260510" w:rsidRDefault="003D6C71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p w:rsidR="00B16E29" w:rsidRPr="00260510" w:rsidRDefault="00B16E29" w:rsidP="00E176C2">
      <w:pPr>
        <w:rPr>
          <w:rFonts w:ascii="Verdana" w:hAnsi="Verdana"/>
          <w:sz w:val="36"/>
          <w:szCs w:val="36"/>
        </w:rPr>
      </w:pPr>
    </w:p>
    <w:tbl>
      <w:tblPr>
        <w:tblW w:w="10200" w:type="dxa"/>
        <w:tblInd w:w="16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1115"/>
        <w:gridCol w:w="149"/>
        <w:gridCol w:w="11"/>
        <w:gridCol w:w="149"/>
        <w:gridCol w:w="357"/>
        <w:gridCol w:w="597"/>
        <w:gridCol w:w="814"/>
        <w:gridCol w:w="149"/>
        <w:gridCol w:w="11"/>
        <w:gridCol w:w="149"/>
        <w:gridCol w:w="1147"/>
        <w:gridCol w:w="177"/>
        <w:gridCol w:w="475"/>
        <w:gridCol w:w="149"/>
        <w:gridCol w:w="11"/>
        <w:gridCol w:w="149"/>
        <w:gridCol w:w="2240"/>
        <w:gridCol w:w="149"/>
        <w:gridCol w:w="269"/>
        <w:gridCol w:w="149"/>
        <w:gridCol w:w="160"/>
        <w:gridCol w:w="1315"/>
        <w:gridCol w:w="149"/>
      </w:tblGrid>
      <w:tr w:rsidR="00E90883" w:rsidRPr="00260510" w:rsidTr="00A35895">
        <w:trPr>
          <w:gridAfter w:val="1"/>
          <w:wAfter w:w="149" w:type="dxa"/>
          <w:trHeight w:val="664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E90883" w:rsidRPr="00260510" w:rsidRDefault="008E7E88" w:rsidP="00A35895">
            <w:pPr>
              <w:spacing w:after="0" w:line="240" w:lineRule="auto"/>
              <w:ind w:right="-35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</w:t>
            </w:r>
            <w:r w:rsidR="00E90883"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EXERCÍCIO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a 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b 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c ) = ( a - b )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SALDO FINANCEIRO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DO EXERCÍCIO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(d) = (d Exerc. Anterior + c)</w:t>
            </w:r>
          </w:p>
        </w:tc>
      </w:tr>
      <w:tr w:rsidR="00027697" w:rsidRPr="00260510" w:rsidTr="00A35895">
        <w:trPr>
          <w:trHeight w:val="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71.638.533,80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81.702.111,56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-10.063.577,76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128.216.770,32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74.368.764,54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86.682.783,17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-12.314.018,63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115.902.751,69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77.121.949,81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88.588.241,76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-11.466.291,95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104.436.459,74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80.067.082,94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91.273.667,56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-11.206.584,62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93.229.875,12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83.207.505,20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94.793.396,93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-11.585.891,73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81.643.983,39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86.437.146,08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99.382.703,15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-12.945.557,07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68.698.426,32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89.814.799,94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103.304.519,23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-13.489.719,29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55.208.707,03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93.459.761,38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108.653.917,29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-15.194.155,91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40.014.551,12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97.160.918,33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113.402.235,64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-16.241.317,31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23.773.233,81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100.950.321,86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117.011.053,64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-16.060.731,78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7.712.502,03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104.933.066,20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120.968.901,49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-16.035.835,29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-8.323.333,26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109.117.665,92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125.322.513,35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-16.204.847,43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-24.528.180,69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113.333.044,21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128.971.691,04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-15.638.646,83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-40.166.827,52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117.864.240,85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135.093.559,48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-17.229.318,63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-57.396.146,15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122.332.119,52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141.018.398,75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-18.686.279,23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-76.082.425,38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126.891.725,34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147.014.019,40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-20.122.294,06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-96.204.719,44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131.520.082,81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152.339.780,17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-20.819.697,36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-117.024.416,80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136.295.450,35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158.975.016,42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-22.679.566,07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-139.703.982,87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140.845.382,41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164.199.607,24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-23.354.224,83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-163.058.207,70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145.408.046,35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169.233.823,02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-23.825.776,67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-186.883.984,37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149.982.824,50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173.968.119,37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-23.985.294,87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-210.869.279,24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154.525.276,50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178.569.517,20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-24.044.240,70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-234.913.519,94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158.914.579,57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181.454.141,99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-22.539.562,42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-257.453.082,36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163.318.150,29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186.583.041,52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-23.264.891,23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-280.717.973,59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167.708.942,34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189.898.753,92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-22.189.811,58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-302.907.785,17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172.051.408,69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193.625.557,40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-21.574.148,71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-324.481.933,88</w:t>
            </w:r>
          </w:p>
        </w:tc>
      </w:tr>
      <w:tr w:rsidR="00E90883" w:rsidRPr="00260510" w:rsidTr="00A35895">
        <w:trPr>
          <w:gridAfter w:val="1"/>
          <w:wAfter w:w="149" w:type="dxa"/>
          <w:trHeight w:val="233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176.189.164,84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195.986.477,17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-19.797.312,33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-344.279.246,21</w:t>
            </w:r>
          </w:p>
        </w:tc>
      </w:tr>
    </w:tbl>
    <w:p w:rsidR="006331D1" w:rsidRPr="00260510" w:rsidRDefault="006331D1" w:rsidP="00AC5106"/>
    <w:p w:rsidR="00FC1E3B" w:rsidRPr="00260510" w:rsidRDefault="00FC1E3B" w:rsidP="00AC5106"/>
    <w:p w:rsidR="00F8345D" w:rsidRPr="00260510" w:rsidRDefault="00F8345D" w:rsidP="00AC5106"/>
    <w:tbl>
      <w:tblPr>
        <w:tblW w:w="10081" w:type="dxa"/>
        <w:tblInd w:w="16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7"/>
        <w:gridCol w:w="796"/>
        <w:gridCol w:w="88"/>
        <w:gridCol w:w="29"/>
        <w:gridCol w:w="54"/>
        <w:gridCol w:w="77"/>
        <w:gridCol w:w="29"/>
        <w:gridCol w:w="160"/>
        <w:gridCol w:w="604"/>
        <w:gridCol w:w="944"/>
        <w:gridCol w:w="137"/>
        <w:gridCol w:w="27"/>
        <w:gridCol w:w="139"/>
        <w:gridCol w:w="39"/>
        <w:gridCol w:w="77"/>
        <w:gridCol w:w="48"/>
        <w:gridCol w:w="906"/>
        <w:gridCol w:w="172"/>
        <w:gridCol w:w="579"/>
        <w:gridCol w:w="136"/>
        <w:gridCol w:w="13"/>
        <w:gridCol w:w="160"/>
        <w:gridCol w:w="18"/>
        <w:gridCol w:w="114"/>
        <w:gridCol w:w="160"/>
        <w:gridCol w:w="1920"/>
        <w:gridCol w:w="160"/>
        <w:gridCol w:w="42"/>
        <w:gridCol w:w="110"/>
        <w:gridCol w:w="114"/>
        <w:gridCol w:w="165"/>
        <w:gridCol w:w="10"/>
        <w:gridCol w:w="1837"/>
      </w:tblGrid>
      <w:tr w:rsidR="00027697" w:rsidRPr="00260510" w:rsidTr="00F8345D">
        <w:trPr>
          <w:trHeight w:val="233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EXERCÍCIO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RECEITAS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( a )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DESPESAS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( b 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RESULTADO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PREVIDENCIÁRIO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( c ) = ( a - b )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SALDO FINANCEIRO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DO EXERCÍCIO</w:t>
            </w:r>
            <w:r w:rsidRPr="00260510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(d) = (d Exerc. Anterior + c</w:t>
            </w: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</w:p>
        </w:tc>
      </w:tr>
      <w:tr w:rsidR="00027697" w:rsidRPr="00260510" w:rsidTr="00F8345D">
        <w:trPr>
          <w:trHeight w:val="233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2045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180.324.301,92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197.387.519,57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-17.063.217,65</w:t>
            </w: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-361.342.463,86</w:t>
            </w:r>
          </w:p>
        </w:tc>
      </w:tr>
      <w:tr w:rsidR="00027697" w:rsidRPr="00260510" w:rsidTr="00F8345D">
        <w:trPr>
          <w:trHeight w:val="64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2046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184.442.820,06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198.786.195,30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-14.343.375,24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-375.685.839,10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A35895">
            <w:pPr>
              <w:spacing w:after="0" w:line="240" w:lineRule="auto"/>
              <w:ind w:right="-21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2047</w:t>
            </w:r>
            <w:r w:rsidR="00A35895"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188.525.650,86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200.020.311,50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-11.494.660,64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-387.180.499,74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2048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192.534.282,52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200.321.066,47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-7.786.783,95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-394.967.283,69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196.589.583,66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200.119.724,28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-3.530.140,62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-398.497.424,31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200.665.211,59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199.682.983,35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982.228,24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-397.515.196,07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2051</w:t>
            </w:r>
            <w:r w:rsidR="00A35895"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204.856.824,46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199.692.281,52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5.164.542,94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-392.350.653,13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209.002.716,65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198.543.896,30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10.458.820,35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-381.891.832,78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2053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213.316.403,57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197.554.085,89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15.762.317,68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-366.129.515,10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217.608.516,52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195.798.781,80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21.809.734,72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-344.319.780,38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2055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222.159.853,95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194.528.713,02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27.631.140,93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-316.688.639,45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2056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226.778.659,79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192.442.864,29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34.335.795,50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-282.352.843,95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2057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231.605.564,82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190.344.917,81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41.260.647,01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-241.092.196,94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2058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236.657.222,81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188.472.967,16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48.184.255,65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-192.907.941,29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241.838.769,93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186.083.506,53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55.755.263,40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-137.152.677,89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247.323.133,55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184.061.398,45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63.261.735,10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-73.890.942,79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253.027.663,63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181.521.952,21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71.505.711,42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-2.385.231,37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259.067.438,35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179.240.359,41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79.827.078,94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77.441.847,57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2063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265.384.286,37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177.078.955,82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88.305.330,55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165.747.178,12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272.006.156,63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174.483.834,31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97.522.322,32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263.269.500,44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2065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279.054.371,47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171.977.415,09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107.076.956,38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370.346.456,82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2066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286.412.331,60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168.796.636,44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117.615.695,16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487.962.151,98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2067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294.388.464,00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165.929.468,14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128.458.995,86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616.421.147,84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2068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302.815.519,47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163.126.910,78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139.688.608,69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756.109.756,53</w:t>
            </w:r>
          </w:p>
        </w:tc>
      </w:tr>
      <w:tr w:rsidR="00027697" w:rsidRPr="00260510" w:rsidTr="00F8345D">
        <w:trPr>
          <w:trHeight w:val="233"/>
        </w:trPr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2069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311.811.479,00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160.683.334,14</w:t>
            </w: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151.128.144,86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907.237.901,39</w:t>
            </w:r>
          </w:p>
        </w:tc>
      </w:tr>
      <w:tr w:rsidR="00E90883" w:rsidRPr="00260510" w:rsidTr="00F8345D">
        <w:trPr>
          <w:trHeight w:val="233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027697" w:rsidRPr="00260510" w:rsidTr="00F8345D">
        <w:trPr>
          <w:trHeight w:val="233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3" w:rsidRPr="00260510" w:rsidRDefault="00E90883" w:rsidP="00E908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027697" w:rsidRPr="00260510" w:rsidRDefault="00027697" w:rsidP="00027697">
      <w:pPr>
        <w:tabs>
          <w:tab w:val="left" w:pos="2410"/>
          <w:tab w:val="left" w:pos="2694"/>
        </w:tabs>
        <w:ind w:left="1134"/>
      </w:pPr>
      <w:r w:rsidRPr="00260510">
        <w:t xml:space="preserve">                                                                                                                   </w:t>
      </w:r>
    </w:p>
    <w:p w:rsidR="00FC1E3B" w:rsidRPr="00260510" w:rsidRDefault="00FC1E3B" w:rsidP="00027697">
      <w:pPr>
        <w:tabs>
          <w:tab w:val="left" w:pos="2410"/>
          <w:tab w:val="left" w:pos="2694"/>
        </w:tabs>
        <w:ind w:left="1134"/>
      </w:pPr>
    </w:p>
    <w:p w:rsidR="00FC1E3B" w:rsidRPr="00260510" w:rsidRDefault="00FC1E3B" w:rsidP="00027697">
      <w:pPr>
        <w:tabs>
          <w:tab w:val="left" w:pos="2410"/>
          <w:tab w:val="left" w:pos="2694"/>
        </w:tabs>
        <w:ind w:left="1134"/>
      </w:pPr>
    </w:p>
    <w:p w:rsidR="003D6C71" w:rsidRPr="00260510" w:rsidRDefault="003D6C71" w:rsidP="00027697">
      <w:pPr>
        <w:tabs>
          <w:tab w:val="left" w:pos="2410"/>
          <w:tab w:val="left" w:pos="2694"/>
        </w:tabs>
        <w:ind w:left="1134"/>
      </w:pPr>
    </w:p>
    <w:tbl>
      <w:tblPr>
        <w:tblW w:w="10190" w:type="dxa"/>
        <w:tblInd w:w="1637" w:type="dxa"/>
        <w:tblCellMar>
          <w:left w:w="70" w:type="dxa"/>
          <w:right w:w="70" w:type="dxa"/>
        </w:tblCellMar>
        <w:tblLook w:val="04A0"/>
      </w:tblPr>
      <w:tblGrid>
        <w:gridCol w:w="160"/>
        <w:gridCol w:w="861"/>
        <w:gridCol w:w="146"/>
        <w:gridCol w:w="14"/>
        <w:gridCol w:w="146"/>
        <w:gridCol w:w="360"/>
        <w:gridCol w:w="644"/>
        <w:gridCol w:w="902"/>
        <w:gridCol w:w="14"/>
        <w:gridCol w:w="132"/>
        <w:gridCol w:w="14"/>
        <w:gridCol w:w="146"/>
        <w:gridCol w:w="1242"/>
        <w:gridCol w:w="146"/>
        <w:gridCol w:w="522"/>
        <w:gridCol w:w="14"/>
        <w:gridCol w:w="132"/>
        <w:gridCol w:w="14"/>
        <w:gridCol w:w="146"/>
        <w:gridCol w:w="2034"/>
        <w:gridCol w:w="283"/>
        <w:gridCol w:w="160"/>
        <w:gridCol w:w="146"/>
        <w:gridCol w:w="1537"/>
        <w:gridCol w:w="275"/>
      </w:tblGrid>
      <w:tr w:rsidR="00027697" w:rsidRPr="00260510" w:rsidTr="00830CC6">
        <w:trPr>
          <w:gridAfter w:val="1"/>
          <w:wAfter w:w="275" w:type="dxa"/>
          <w:trHeight w:val="664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EXERCÍCIO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a )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PREVIDENCIÁRIAS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b )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RESULTADO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PREVIDENCIÁRIO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 c ) = ( a - b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SALDO FINANCEIRO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DO EXERCÍCIO</w:t>
            </w: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br/>
              <w:t>(d) = (d Exerc. Anterior + c)</w:t>
            </w:r>
          </w:p>
        </w:tc>
      </w:tr>
      <w:tr w:rsidR="00027697" w:rsidRPr="00260510" w:rsidTr="00830CC6">
        <w:trPr>
          <w:trHeight w:val="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321.308.715,18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157.690.535,55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163.618.179,63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1.070.856.081,02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331.531.663,16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155.044.349,96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176.487.313,20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1.247.343.394,22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342.361.162,05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152.120.798,74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190.240.363,31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1.437.583.757,53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354.026.236,39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149.415.204,77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204.611.031,62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1.642.194.789,15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366.394.373,93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146.471.751,61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219.922.622,32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1.862.117.411,47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379.661.997,32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143.706.216,24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235.955.781,08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2.098.073.192,55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393.837.533,41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140.635.580,86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253.201.952,55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2.351.275.145,10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408.983.794,32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137.735.172,15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271.248.622,17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2.622.523.767,27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425.166.894,43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134.903.516,10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290.263.378,33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2.912.787.145,60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442.517.518,64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132.374.007,01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310.143.511,63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3.222.930.657,23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460.986.615,83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129.809.083,14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331.177.532,69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3.554.108.189,92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480.740.763,23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127.696.391,47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353.044.371,76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3.907.152.561,68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501.734.462,72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125.187.414,15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376.547.048,57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4.283.699.610,25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524.167.170,46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122.971.603,09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401.195.567,37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4.684.895.177,62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548.032.097,70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120.766.933,06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427.265.164,64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5.112.160.342,26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573.538.011,32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118.697.877,64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454.840.133,68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5.567.000.475,94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600.641.789,14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116.688.611,00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483.953.178,14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6.050.953.654,08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629.488.460,32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114.865.148,74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514.623.311,58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6.565.576.965,66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660.236.539,18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113.230.203,93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547.006.335,25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7.112.583.300,91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692.904.088,87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111.622.654,70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581.281.434,17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7.693.864.735,08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727.613.024,83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110.169.485,96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617.443.538,87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8.311.308.273,95</w:t>
            </w:r>
          </w:p>
        </w:tc>
      </w:tr>
      <w:tr w:rsidR="00027697" w:rsidRPr="00260510" w:rsidTr="00830CC6">
        <w:trPr>
          <w:gridAfter w:val="1"/>
          <w:wAfter w:w="275" w:type="dxa"/>
          <w:trHeight w:val="233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764.540.183,97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108.870.888,81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655.669.295,16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D7D7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8.966.977.569,11</w:t>
            </w:r>
          </w:p>
        </w:tc>
      </w:tr>
      <w:tr w:rsidR="00027697" w:rsidRPr="00260510" w:rsidTr="00830CC6">
        <w:trPr>
          <w:trHeight w:val="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027697" w:rsidRPr="00260510" w:rsidTr="00830CC6">
        <w:trPr>
          <w:gridAfter w:val="1"/>
          <w:wAfter w:w="275" w:type="dxa"/>
          <w:trHeight w:val="248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20.094.068.278,15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11.265.371.057,12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8.828.697.221,03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027697" w:rsidRPr="00260510" w:rsidRDefault="00027697" w:rsidP="000276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8.828.697.221,03</w:t>
            </w:r>
          </w:p>
        </w:tc>
      </w:tr>
    </w:tbl>
    <w:p w:rsidR="00E90883" w:rsidRPr="00260510" w:rsidRDefault="00E90883" w:rsidP="00E90883">
      <w:pPr>
        <w:jc w:val="center"/>
      </w:pPr>
    </w:p>
    <w:p w:rsidR="00E90883" w:rsidRPr="00260510" w:rsidRDefault="00E90883" w:rsidP="00E90883">
      <w:pPr>
        <w:jc w:val="center"/>
      </w:pPr>
    </w:p>
    <w:p w:rsidR="003D6C71" w:rsidRPr="00260510" w:rsidRDefault="003D6C71" w:rsidP="00E90883">
      <w:pPr>
        <w:jc w:val="center"/>
        <w:rPr>
          <w:rFonts w:ascii="Verdana" w:hAnsi="Verdana"/>
          <w:sz w:val="36"/>
          <w:szCs w:val="36"/>
        </w:rPr>
      </w:pPr>
    </w:p>
    <w:p w:rsidR="003D6C71" w:rsidRPr="00260510" w:rsidRDefault="003D6C71" w:rsidP="00E90883">
      <w:pPr>
        <w:jc w:val="center"/>
        <w:rPr>
          <w:rFonts w:ascii="Verdana" w:hAnsi="Verdana"/>
          <w:sz w:val="36"/>
          <w:szCs w:val="36"/>
        </w:rPr>
      </w:pPr>
    </w:p>
    <w:p w:rsidR="00F71F8E" w:rsidRPr="00260510" w:rsidRDefault="00F71F8E" w:rsidP="003D6C71">
      <w:pPr>
        <w:spacing w:line="240" w:lineRule="auto"/>
        <w:jc w:val="center"/>
        <w:rPr>
          <w:rFonts w:ascii="Verdana" w:hAnsi="Verdana"/>
          <w:sz w:val="36"/>
          <w:szCs w:val="36"/>
        </w:rPr>
      </w:pPr>
    </w:p>
    <w:p w:rsidR="00371945" w:rsidRPr="00260510" w:rsidRDefault="003D6C71" w:rsidP="003D6C71">
      <w:pPr>
        <w:spacing w:line="240" w:lineRule="auto"/>
        <w:jc w:val="center"/>
        <w:rPr>
          <w:b/>
        </w:rPr>
      </w:pPr>
      <w:r w:rsidRPr="00260510">
        <w:rPr>
          <w:rFonts w:ascii="Verdana" w:hAnsi="Verdana"/>
          <w:b/>
          <w:sz w:val="36"/>
          <w:szCs w:val="36"/>
        </w:rPr>
        <w:t>Estimativa da Compensação e Renúncia da Receita</w:t>
      </w:r>
    </w:p>
    <w:tbl>
      <w:tblPr>
        <w:tblW w:w="13897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46"/>
        <w:gridCol w:w="344"/>
        <w:gridCol w:w="111"/>
        <w:gridCol w:w="1338"/>
        <w:gridCol w:w="71"/>
        <w:gridCol w:w="70"/>
        <w:gridCol w:w="222"/>
        <w:gridCol w:w="1368"/>
        <w:gridCol w:w="221"/>
        <w:gridCol w:w="434"/>
        <w:gridCol w:w="1156"/>
        <w:gridCol w:w="293"/>
        <w:gridCol w:w="1705"/>
        <w:gridCol w:w="1680"/>
        <w:gridCol w:w="1660"/>
        <w:gridCol w:w="1978"/>
      </w:tblGrid>
      <w:tr w:rsidR="00156294" w:rsidRPr="00260510" w:rsidTr="00F71F8E">
        <w:trPr>
          <w:gridAfter w:val="7"/>
          <w:wAfter w:w="8906" w:type="dxa"/>
          <w:trHeight w:val="330"/>
        </w:trPr>
        <w:tc>
          <w:tcPr>
            <w:tcW w:w="159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6294" w:rsidRPr="00260510" w:rsidTr="00F71F8E">
        <w:trPr>
          <w:trHeight w:val="330"/>
        </w:trPr>
        <w:tc>
          <w:tcPr>
            <w:tcW w:w="3039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(LRF, art. 4°, § 2°, inciso V)</w:t>
            </w:r>
          </w:p>
        </w:tc>
        <w:tc>
          <w:tcPr>
            <w:tcW w:w="3835" w:type="dxa"/>
            <w:gridSpan w:val="8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R$ 1,00 </w:t>
            </w:r>
          </w:p>
        </w:tc>
      </w:tr>
      <w:tr w:rsidR="00156294" w:rsidRPr="00260510" w:rsidTr="00F71F8E">
        <w:trPr>
          <w:trHeight w:val="480"/>
        </w:trPr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TRIBUTO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38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SETORES/ PROGRAMAS/ BENEFICIÁRIO</w:t>
            </w:r>
          </w:p>
        </w:tc>
        <w:tc>
          <w:tcPr>
            <w:tcW w:w="50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RENÚNCIA DE RECEITA PREVISTA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COMPENSAÇÃO</w:t>
            </w:r>
          </w:p>
        </w:tc>
      </w:tr>
      <w:tr w:rsidR="00156294" w:rsidRPr="00260510" w:rsidTr="00F71F8E">
        <w:trPr>
          <w:trHeight w:val="480"/>
        </w:trPr>
        <w:tc>
          <w:tcPr>
            <w:tcW w:w="12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0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56294" w:rsidRPr="00260510" w:rsidTr="00F71F8E">
        <w:trPr>
          <w:trHeight w:val="342"/>
        </w:trPr>
        <w:tc>
          <w:tcPr>
            <w:tcW w:w="12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56294" w:rsidRPr="00260510" w:rsidTr="00F71F8E">
        <w:trPr>
          <w:trHeight w:val="17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IPTU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renúncia</w:t>
            </w:r>
          </w:p>
        </w:tc>
        <w:tc>
          <w:tcPr>
            <w:tcW w:w="383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Benefícios concedidos conforme Lei Municipal 5.437/2008; 5.603/2009;6.105/2014;6.381/2016; 6.532/2017; 5.698/2010;  6178/2014; 6195/2014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519.441,00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540.218,64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561.827,39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56294" w:rsidRPr="00260510" w:rsidTr="00F71F8E">
        <w:trPr>
          <w:trHeight w:val="5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ITBI</w:t>
            </w:r>
          </w:p>
        </w:tc>
        <w:tc>
          <w:tcPr>
            <w:tcW w:w="17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renúncia</w:t>
            </w:r>
          </w:p>
        </w:tc>
        <w:tc>
          <w:tcPr>
            <w:tcW w:w="383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sz w:val="20"/>
                <w:szCs w:val="20"/>
              </w:rPr>
              <w:t>6.202/2015;  5.603/2009; 6.105/14; 6.381/2016; 6.532/17;  5.437/2008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231.099,00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240.342,96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249.956,68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56294" w:rsidRPr="00260510" w:rsidTr="00F71F8E">
        <w:trPr>
          <w:trHeight w:val="5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ISSQN</w:t>
            </w:r>
          </w:p>
        </w:tc>
        <w:tc>
          <w:tcPr>
            <w:tcW w:w="17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renúncia</w:t>
            </w:r>
          </w:p>
        </w:tc>
        <w:tc>
          <w:tcPr>
            <w:tcW w:w="383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sz w:val="20"/>
                <w:szCs w:val="20"/>
              </w:rPr>
              <w:t>5.147/2005; 5.603/2009; 6.105/14; 6.381/2016; 6.532/17; 5.645/2009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934.920,00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972.316,80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1.011.209,47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56294" w:rsidRPr="00260510" w:rsidTr="004C35C6">
        <w:trPr>
          <w:trHeight w:val="570"/>
        </w:trPr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Taxas</w:t>
            </w:r>
          </w:p>
        </w:tc>
        <w:tc>
          <w:tcPr>
            <w:tcW w:w="1793" w:type="dxa"/>
            <w:gridSpan w:val="3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renúncia</w:t>
            </w:r>
          </w:p>
        </w:tc>
        <w:tc>
          <w:tcPr>
            <w:tcW w:w="3835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sz w:val="20"/>
                <w:szCs w:val="20"/>
              </w:rPr>
              <w:t xml:space="preserve">5.603/2009; 6.105/14; 6.381/2016; 6.532/17;  5.437/2008; </w:t>
            </w:r>
          </w:p>
        </w:tc>
        <w:tc>
          <w:tcPr>
            <w:tcW w:w="170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21.841,00 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22.714,64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23.623,23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56294" w:rsidRPr="00260510" w:rsidTr="004C35C6">
        <w:trPr>
          <w:trHeight w:val="300"/>
        </w:trPr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Tarifa de Água</w:t>
            </w:r>
          </w:p>
        </w:tc>
        <w:tc>
          <w:tcPr>
            <w:tcW w:w="17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renúncia</w:t>
            </w:r>
          </w:p>
        </w:tc>
        <w:tc>
          <w:tcPr>
            <w:tcW w:w="383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6294" w:rsidRPr="00260510" w:rsidRDefault="00156294">
            <w:pPr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20.000,00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4C35C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4</w:t>
            </w:r>
            <w:r w:rsidR="00156294" w:rsidRPr="00260510">
              <w:rPr>
                <w:rFonts w:ascii="Verdana" w:hAnsi="Verdana" w:cs="Arial"/>
                <w:sz w:val="20"/>
                <w:szCs w:val="20"/>
              </w:rPr>
              <w:t xml:space="preserve">0.000,00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40.000,00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 w:rsidP="004C35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60510">
              <w:rPr>
                <w:rFonts w:ascii="Verdana" w:hAnsi="Verdana" w:cs="Arial"/>
                <w:sz w:val="20"/>
                <w:szCs w:val="20"/>
              </w:rPr>
              <w:t xml:space="preserve">         </w:t>
            </w:r>
          </w:p>
        </w:tc>
      </w:tr>
      <w:tr w:rsidR="00156294" w:rsidRPr="00260510" w:rsidTr="004C35C6">
        <w:trPr>
          <w:trHeight w:val="342"/>
        </w:trPr>
        <w:tc>
          <w:tcPr>
            <w:tcW w:w="687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1.727.301,00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156294" w:rsidRPr="00260510" w:rsidRDefault="004C35C6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1.81</w:t>
            </w:r>
            <w:r w:rsidR="00156294"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5.593,04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vAlign w:val="bottom"/>
            <w:hideMark/>
          </w:tcPr>
          <w:p w:rsidR="00156294" w:rsidRPr="00260510" w:rsidRDefault="00156294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1.886.616,77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56294" w:rsidRPr="00260510" w:rsidTr="004C35C6">
        <w:trPr>
          <w:trHeight w:val="420"/>
        </w:trPr>
        <w:tc>
          <w:tcPr>
            <w:tcW w:w="30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*COMPENSAÇÃO:</w:t>
            </w: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56294" w:rsidRPr="00260510" w:rsidTr="00F71F8E">
        <w:trPr>
          <w:trHeight w:val="1050"/>
        </w:trPr>
        <w:tc>
          <w:tcPr>
            <w:tcW w:w="138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b/>
                <w:bCs/>
                <w:sz w:val="20"/>
                <w:szCs w:val="20"/>
              </w:rPr>
              <w:t>ISSQN</w:t>
            </w:r>
            <w:r w:rsidRPr="00260510">
              <w:rPr>
                <w:rFonts w:ascii="Arial" w:hAnsi="Arial" w:cs="Arial"/>
                <w:sz w:val="20"/>
                <w:szCs w:val="20"/>
              </w:rPr>
              <w:t>:  Desenvolvimento da Nota Fiscal Pelotense (Lei 6.397/2016);  Fiscalização sobre leasing, Cartões de crédito/débito (Lei complementar 157/2016) Atualização do Cadastro Mobiliário; Implantação a renovação anual do Alvará de Localização e Funcionamento; Atualização ao código de Atividades do Município, conforme a Classificação Nacional de Atividades do Município, bem como, a Classificação Nacional de Atividades Econômicas; Aplicar fiscalização sobre Leasing, cartões de crédito/débito, Lei Complementar nº 157/2016.</w:t>
            </w:r>
          </w:p>
        </w:tc>
      </w:tr>
      <w:tr w:rsidR="00156294" w:rsidRPr="00260510" w:rsidTr="00F71F8E">
        <w:trPr>
          <w:trHeight w:val="499"/>
        </w:trPr>
        <w:tc>
          <w:tcPr>
            <w:tcW w:w="138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b/>
                <w:bCs/>
                <w:sz w:val="20"/>
                <w:szCs w:val="20"/>
              </w:rPr>
              <w:t>IPTU:</w:t>
            </w:r>
            <w:r w:rsidRPr="00260510">
              <w:rPr>
                <w:rFonts w:ascii="Arial" w:hAnsi="Arial" w:cs="Arial"/>
                <w:sz w:val="20"/>
                <w:szCs w:val="20"/>
              </w:rPr>
              <w:t> Aprimoramento do fluxo de processos do serviço de IPTU, Atualização do Cadastro Imobiliário; Revisão das isenções concedidas; Cadastramento de áreas urbanas.</w:t>
            </w:r>
          </w:p>
        </w:tc>
      </w:tr>
      <w:tr w:rsidR="00156294" w:rsidRPr="00260510" w:rsidTr="00F71F8E">
        <w:trPr>
          <w:trHeight w:val="1020"/>
        </w:trPr>
        <w:tc>
          <w:tcPr>
            <w:tcW w:w="138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260510" w:rsidRDefault="001562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10">
              <w:rPr>
                <w:rFonts w:ascii="Arial" w:hAnsi="Arial" w:cs="Arial"/>
                <w:b/>
                <w:bCs/>
                <w:sz w:val="20"/>
                <w:szCs w:val="20"/>
              </w:rPr>
              <w:t>ITBI:</w:t>
            </w:r>
            <w:r w:rsidRPr="00260510">
              <w:rPr>
                <w:rFonts w:ascii="Arial" w:hAnsi="Arial" w:cs="Arial"/>
                <w:sz w:val="20"/>
                <w:szCs w:val="20"/>
              </w:rPr>
              <w:t xml:space="preserve">  Implantação de programa de incentivo à retirada dos "contratos de gaveta"; Divulgação massiva da Lei 6.489/2017 sobre parcelamento do imposto em até 2 vezes; Revisão sobre as isenções concedidas as empresas nos últimos 5 anos; Realizar programa de divulgação da Lei nº 6.489/17 (parcelamento em 12 vezes); Implantar programa de incentivo à retirada dos contratos de gavetas (redução de aliquotas); Realizar trabalhos específicos sobre as isenções concedidas as empresas.</w:t>
            </w:r>
          </w:p>
        </w:tc>
      </w:tr>
      <w:tr w:rsidR="00156294" w:rsidRPr="00260510" w:rsidTr="00F71F8E">
        <w:trPr>
          <w:trHeight w:val="259"/>
        </w:trPr>
        <w:tc>
          <w:tcPr>
            <w:tcW w:w="687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FONTE: Secretaria Municipal da Fazenda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60510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156294" w:rsidRPr="00260510" w:rsidTr="00F71F8E">
        <w:trPr>
          <w:trHeight w:val="22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2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2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2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8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  <w:r w:rsidRPr="002605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25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trHeight w:val="225"/>
        </w:trPr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294" w:rsidRPr="00260510" w:rsidTr="00F71F8E">
        <w:trPr>
          <w:gridAfter w:val="6"/>
          <w:wAfter w:w="8472" w:type="dxa"/>
          <w:trHeight w:val="342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6294" w:rsidRPr="00260510" w:rsidTr="00F71F8E">
        <w:trPr>
          <w:gridAfter w:val="5"/>
          <w:wAfter w:w="7316" w:type="dxa"/>
          <w:trHeight w:val="259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260510" w:rsidRDefault="00156294" w:rsidP="00C3511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1E593C" w:rsidRPr="00260510" w:rsidRDefault="001E593C" w:rsidP="00F71F8E">
      <w:pPr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Margem de Expansão das Despesas Obrigatórias de Caráter Continuado</w:t>
      </w:r>
    </w:p>
    <w:tbl>
      <w:tblPr>
        <w:tblW w:w="132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580"/>
        <w:gridCol w:w="4700"/>
      </w:tblGrid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(LRF, art. 4°, § 2°, inciso V)</w:t>
            </w:r>
          </w:p>
        </w:tc>
        <w:tc>
          <w:tcPr>
            <w:tcW w:w="47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R$ 1,00 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8" w:rsidRPr="00260510" w:rsidRDefault="00707888" w:rsidP="00707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EVENTOS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8" w:rsidRPr="00260510" w:rsidRDefault="00EC3A26" w:rsidP="00707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 Previsto 2018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Aumento Permanente da Receita 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(-)  Aumento referente a transferências constitucionais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(-)  Aumento referente a transferências do FUNDEB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Saldo Final do Aumento Permanente de Receita  (I)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9696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Redução Permanente de Despesa (II)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Margem Bruta  (III) = (I+II)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9696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Saldo Utilizado da Margem Bruta (IV)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9696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Novas DOCC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Novas DOCC geradas por PPP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8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Margem Líquida de Expansão de DOCC (V) = (III-IV)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9696"/>
            <w:hideMark/>
          </w:tcPr>
          <w:p w:rsidR="00707888" w:rsidRPr="00260510" w:rsidRDefault="00707888" w:rsidP="007078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707888" w:rsidRPr="00260510" w:rsidTr="00EC3A26">
        <w:trPr>
          <w:trHeight w:val="342"/>
        </w:trPr>
        <w:tc>
          <w:tcPr>
            <w:tcW w:w="132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888" w:rsidRPr="00260510" w:rsidRDefault="00707888" w:rsidP="00707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FONTE: Secretaria</w:t>
            </w:r>
            <w:r w:rsidR="004C35C6"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Municipal da Fazenda</w:t>
            </w:r>
          </w:p>
        </w:tc>
      </w:tr>
    </w:tbl>
    <w:p w:rsidR="001E593C" w:rsidRDefault="001E593C" w:rsidP="002F27F6">
      <w:pPr>
        <w:jc w:val="center"/>
        <w:rPr>
          <w:rFonts w:ascii="Verdana" w:hAnsi="Verdana"/>
          <w:sz w:val="36"/>
          <w:szCs w:val="36"/>
        </w:rPr>
      </w:pPr>
    </w:p>
    <w:p w:rsidR="001E593C" w:rsidRDefault="001E593C" w:rsidP="002F27F6">
      <w:pPr>
        <w:jc w:val="center"/>
        <w:rPr>
          <w:rFonts w:ascii="Verdana" w:hAnsi="Verdana"/>
          <w:sz w:val="36"/>
          <w:szCs w:val="36"/>
        </w:rPr>
      </w:pPr>
    </w:p>
    <w:p w:rsidR="001E593C" w:rsidRDefault="001E593C" w:rsidP="002F27F6">
      <w:pPr>
        <w:jc w:val="center"/>
        <w:rPr>
          <w:rFonts w:ascii="Verdana" w:hAnsi="Verdana"/>
          <w:sz w:val="36"/>
          <w:szCs w:val="36"/>
        </w:rPr>
      </w:pPr>
    </w:p>
    <w:p w:rsidR="001E593C" w:rsidRDefault="001E593C" w:rsidP="002F27F6">
      <w:pPr>
        <w:jc w:val="center"/>
        <w:rPr>
          <w:rFonts w:ascii="Verdana" w:hAnsi="Verdana"/>
          <w:sz w:val="36"/>
          <w:szCs w:val="36"/>
        </w:rPr>
      </w:pPr>
    </w:p>
    <w:p w:rsidR="00371945" w:rsidRPr="00260510" w:rsidRDefault="007607E6" w:rsidP="00371945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 xml:space="preserve">Anexo </w:t>
      </w:r>
      <w:r w:rsidR="00371945" w:rsidRPr="00260510">
        <w:rPr>
          <w:rFonts w:ascii="Verdana" w:hAnsi="Verdana"/>
          <w:b/>
          <w:sz w:val="36"/>
          <w:szCs w:val="36"/>
        </w:rPr>
        <w:t>V</w:t>
      </w:r>
    </w:p>
    <w:p w:rsidR="00371945" w:rsidRPr="00260510" w:rsidRDefault="00371945" w:rsidP="00371945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 xml:space="preserve">Demonstrativo de Riscos Fiscais e Providências </w:t>
      </w:r>
    </w:p>
    <w:tbl>
      <w:tblPr>
        <w:tblW w:w="13020" w:type="dxa"/>
        <w:tblInd w:w="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20"/>
        <w:gridCol w:w="3740"/>
        <w:gridCol w:w="1660"/>
        <w:gridCol w:w="4580"/>
        <w:gridCol w:w="1520"/>
      </w:tblGrid>
      <w:tr w:rsidR="005B04C8" w:rsidRPr="00260510" w:rsidTr="005B04C8">
        <w:trPr>
          <w:gridAfter w:val="4"/>
          <w:wAfter w:w="11500" w:type="dxa"/>
          <w:trHeight w:val="342"/>
        </w:trPr>
        <w:tc>
          <w:tcPr>
            <w:tcW w:w="1520" w:type="dxa"/>
            <w:shd w:val="clear" w:color="auto" w:fill="auto"/>
            <w:vAlign w:val="bottom"/>
            <w:hideMark/>
          </w:tcPr>
          <w:p w:rsidR="005B04C8" w:rsidRPr="00260510" w:rsidRDefault="005B04C8" w:rsidP="00371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6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PASSIVOS CONTINGENTES</w:t>
            </w: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PROVIDÊNCIAS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para Riscos Fiscais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1.800.000,00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Abertura de Crédito Suplementar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2.600.000,00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para Abertura de Créditos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800.000,00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Reserva Sanep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1.100.000,00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Abertura de Crédito Suplementar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1.100.000,00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B04C8" w:rsidRPr="00260510" w:rsidTr="005B04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5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3.700.000,00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:rsidR="005B04C8" w:rsidRPr="00260510" w:rsidRDefault="005B04C8" w:rsidP="005B0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6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3.700.000,00</w:t>
            </w:r>
          </w:p>
        </w:tc>
      </w:tr>
    </w:tbl>
    <w:p w:rsidR="002F27F6" w:rsidRPr="00260510" w:rsidRDefault="004C35C6" w:rsidP="004C35C6">
      <w:r w:rsidRPr="00260510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FONTE: Secretaria Municipal da Fazenda</w:t>
      </w:r>
    </w:p>
    <w:p w:rsidR="002F27F6" w:rsidRDefault="002F27F6" w:rsidP="00E90883">
      <w:pPr>
        <w:jc w:val="center"/>
      </w:pPr>
    </w:p>
    <w:p w:rsidR="005B04C8" w:rsidRDefault="005B04C8" w:rsidP="00E90883">
      <w:pPr>
        <w:jc w:val="center"/>
      </w:pPr>
    </w:p>
    <w:p w:rsidR="005B04C8" w:rsidRDefault="005B04C8" w:rsidP="00E90883">
      <w:pPr>
        <w:jc w:val="center"/>
      </w:pPr>
    </w:p>
    <w:p w:rsidR="005B04C8" w:rsidRDefault="005B04C8" w:rsidP="00E90883">
      <w:pPr>
        <w:jc w:val="center"/>
      </w:pPr>
    </w:p>
    <w:p w:rsidR="002F27F6" w:rsidRDefault="002F27F6" w:rsidP="005B04C8"/>
    <w:p w:rsidR="007607E6" w:rsidRDefault="007607E6" w:rsidP="00371945">
      <w:pPr>
        <w:jc w:val="center"/>
        <w:rPr>
          <w:rFonts w:ascii="Verdana" w:hAnsi="Verdana"/>
          <w:sz w:val="36"/>
          <w:szCs w:val="36"/>
        </w:rPr>
      </w:pPr>
    </w:p>
    <w:p w:rsidR="00371945" w:rsidRPr="00260510" w:rsidRDefault="00371945" w:rsidP="00371945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Anexo V</w:t>
      </w:r>
      <w:r w:rsidR="007607E6" w:rsidRPr="00260510">
        <w:rPr>
          <w:rFonts w:ascii="Verdana" w:hAnsi="Verdana"/>
          <w:b/>
          <w:sz w:val="36"/>
          <w:szCs w:val="36"/>
        </w:rPr>
        <w:t>I</w:t>
      </w:r>
    </w:p>
    <w:p w:rsidR="00371945" w:rsidRPr="00260510" w:rsidRDefault="00371945" w:rsidP="00371945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Demonstrativo dos Projetos em</w:t>
      </w:r>
      <w:r w:rsidR="008C633E" w:rsidRPr="00260510">
        <w:rPr>
          <w:rFonts w:ascii="Verdana" w:hAnsi="Verdana"/>
          <w:b/>
          <w:sz w:val="36"/>
          <w:szCs w:val="36"/>
        </w:rPr>
        <w:t xml:space="preserve"> Andamento e Informações sobre </w:t>
      </w:r>
      <w:r w:rsidRPr="00260510">
        <w:rPr>
          <w:rFonts w:ascii="Verdana" w:hAnsi="Verdana"/>
          <w:b/>
          <w:sz w:val="36"/>
          <w:szCs w:val="36"/>
        </w:rPr>
        <w:t>Patrimônio Público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487"/>
        <w:gridCol w:w="5559"/>
        <w:gridCol w:w="2175"/>
        <w:gridCol w:w="2977"/>
      </w:tblGrid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SMS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Cód Ação PPA e LDO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Previsão para conclusão</w:t>
            </w:r>
          </w:p>
        </w:tc>
      </w:tr>
      <w:tr w:rsidR="007607E6" w:rsidRPr="007607E6" w:rsidTr="007607E6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10.302.0138.2036.00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Investimento em Infraestrutura na Saúde - SOS - UPA - Construção UPA Bento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2018</w:t>
            </w:r>
          </w:p>
        </w:tc>
      </w:tr>
      <w:tr w:rsidR="007607E6" w:rsidRPr="007607E6" w:rsidTr="007607E6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Investimento em Infraestrutura na Saúde - Modernização e Qualificação da Infraestrutura nas UBS - Construção UBS Corrientes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e Ampliação UBS Getúlio Vargas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UBS Navegantes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Ampliação UBS Cohab Pestano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UBS Grupelli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UBS Barro Duro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UBS Cordeiro de Farias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Construção UBS Vila Carvalho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Reforma UBS Puericultura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Ampliação e Reforma UBS Pedreiras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2020</w:t>
            </w:r>
          </w:p>
        </w:tc>
      </w:tr>
      <w:tr w:rsidR="007607E6" w:rsidRPr="007607E6" w:rsidTr="007607E6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10.301.0130.1003.00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Investimento em Infraestrutura na Saúde - Modernização e Qualificação da Infraestrutura nas UBS - Ampliação UBS Cohab Fragata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2020</w:t>
            </w:r>
          </w:p>
        </w:tc>
      </w:tr>
      <w:tr w:rsidR="007607E6" w:rsidRPr="007607E6" w:rsidTr="007607E6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SMOP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15.451.0123.1048.00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Mobilidade Urbana - Pavimentação e Manutenção de Vias Públicas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SAS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15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08.244.0102.2162.00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Ação de Assintência Social -  Ampliação da Rede dos Cras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SECULT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13.392.0115.1007.00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Gestão e Política Cultural - Equipamento Cultural – Theatro Sete de Abril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SMED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12.361.0117.1016.00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Infraestrutura e Suporte às Escolas - Escola Fundamental de Casa Nova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12.122.0002.1012.00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Infraestrutura e Suporte às Escolas - Casa Nova Casa Velha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12.365.0117.1020.00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Infraestrutura e Suporte às Escolas - Reforma e Expansão  de EMEI'S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12.361.0133.2098.00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Qalificação do Ensino e da Aprendizagem - Mais que Aula - Ampliação das Salas de Recursos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SANEP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675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17.512.0121.1402.00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e implementação da ETA São Gonçalo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17.512.0121.1403.00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da ETE novo mundo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315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17.512.0121.1404.00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da ETE Rodoviária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17.512.0121.1405.00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da ETE Simões Lopes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17.512.0121.1406.00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redes de esgoto Laranjal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17.512.0121.1407.00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Meio Ambiente e Saneamento - Construção do CG1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</w:tr>
      <w:tr w:rsidR="007607E6" w:rsidRPr="007607E6" w:rsidTr="007607E6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SEPLAG</w:t>
            </w:r>
          </w:p>
        </w:tc>
      </w:tr>
      <w:tr w:rsidR="007607E6" w:rsidRPr="007607E6" w:rsidTr="007607E6">
        <w:trPr>
          <w:trHeight w:val="300"/>
        </w:trPr>
        <w:tc>
          <w:tcPr>
            <w:tcW w:w="13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15.451.0123.1038.00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Mobilidade Urbana - Pavimentação e Qualificação de Vias Estruturantes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15.451.0123.1039.00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Mobilidade Urbana - Pavimentação e Qualificação de Vias Coletoras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  <w:tr w:rsidR="007607E6" w:rsidRPr="007607E6" w:rsidTr="007607E6">
        <w:trPr>
          <w:trHeight w:val="57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760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15.451.0123.1040.00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Mobilidade Urbana - Reestruturação do sistema de mobilidade urbana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7E6" w:rsidRPr="007607E6" w:rsidRDefault="007607E6" w:rsidP="00760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607E6"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</w:tr>
    </w:tbl>
    <w:p w:rsidR="00371945" w:rsidRDefault="00371945" w:rsidP="00E90883">
      <w:pPr>
        <w:jc w:val="center"/>
      </w:pPr>
    </w:p>
    <w:p w:rsidR="00371945" w:rsidRDefault="00371945" w:rsidP="00E90883">
      <w:pPr>
        <w:jc w:val="center"/>
      </w:pPr>
    </w:p>
    <w:p w:rsidR="00371945" w:rsidRDefault="00371945" w:rsidP="00E90883">
      <w:pPr>
        <w:jc w:val="center"/>
      </w:pPr>
    </w:p>
    <w:p w:rsidR="00371945" w:rsidRDefault="00371945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7607E6" w:rsidRDefault="007607E6" w:rsidP="00E90883">
      <w:pPr>
        <w:jc w:val="center"/>
      </w:pPr>
    </w:p>
    <w:p w:rsidR="004E241B" w:rsidRDefault="004E241B" w:rsidP="00E90883">
      <w:pPr>
        <w:jc w:val="center"/>
      </w:pPr>
    </w:p>
    <w:p w:rsidR="00371945" w:rsidRDefault="00371945" w:rsidP="00E176C2"/>
    <w:p w:rsidR="00371945" w:rsidRPr="00260510" w:rsidRDefault="00371945" w:rsidP="00371945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lastRenderedPageBreak/>
        <w:t>Anexo VI</w:t>
      </w:r>
      <w:r w:rsidR="007607E6" w:rsidRPr="00260510">
        <w:rPr>
          <w:rFonts w:ascii="Verdana" w:hAnsi="Verdana"/>
          <w:b/>
          <w:sz w:val="36"/>
          <w:szCs w:val="36"/>
        </w:rPr>
        <w:t>I</w:t>
      </w:r>
    </w:p>
    <w:p w:rsidR="0053520A" w:rsidRPr="00260510" w:rsidRDefault="00371945" w:rsidP="00156294">
      <w:pPr>
        <w:jc w:val="center"/>
        <w:rPr>
          <w:rFonts w:ascii="Verdana" w:hAnsi="Verdana"/>
          <w:b/>
          <w:sz w:val="36"/>
          <w:szCs w:val="36"/>
        </w:rPr>
      </w:pPr>
      <w:r w:rsidRPr="00260510">
        <w:rPr>
          <w:rFonts w:ascii="Verdana" w:hAnsi="Verdana"/>
          <w:b/>
          <w:sz w:val="36"/>
          <w:szCs w:val="36"/>
        </w:rPr>
        <w:t>Planejamento da Despesa com Pessoal</w:t>
      </w:r>
    </w:p>
    <w:tbl>
      <w:tblPr>
        <w:tblpPr w:leftFromText="141" w:rightFromText="141" w:vertAnchor="text" w:horzAnchor="margin" w:tblpXSpec="center" w:tblpY="89"/>
        <w:tblW w:w="15480" w:type="dxa"/>
        <w:tblCellMar>
          <w:left w:w="70" w:type="dxa"/>
          <w:right w:w="70" w:type="dxa"/>
        </w:tblCellMar>
        <w:tblLook w:val="04A0"/>
      </w:tblPr>
      <w:tblGrid>
        <w:gridCol w:w="3402"/>
        <w:gridCol w:w="198"/>
        <w:gridCol w:w="1120"/>
        <w:gridCol w:w="1380"/>
        <w:gridCol w:w="1160"/>
        <w:gridCol w:w="1040"/>
        <w:gridCol w:w="780"/>
        <w:gridCol w:w="980"/>
        <w:gridCol w:w="1060"/>
        <w:gridCol w:w="1620"/>
        <w:gridCol w:w="1100"/>
        <w:gridCol w:w="1640"/>
      </w:tblGrid>
      <w:tr w:rsidR="00156294" w:rsidRPr="0053520A" w:rsidTr="00156294">
        <w:trPr>
          <w:trHeight w:val="342"/>
        </w:trPr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Cargos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Legislação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Padrão de Remuneração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Cargos Existentes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Cargos Ocupados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Cargos Vagos</w:t>
            </w:r>
          </w:p>
        </w:tc>
        <w:tc>
          <w:tcPr>
            <w:tcW w:w="6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Previsão para 2019</w:t>
            </w:r>
          </w:p>
        </w:tc>
      </w:tr>
      <w:tr w:rsidR="00156294" w:rsidRPr="0053520A" w:rsidTr="00156294">
        <w:trPr>
          <w:trHeight w:val="1170"/>
        </w:trPr>
        <w:tc>
          <w:tcPr>
            <w:tcW w:w="34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Criação - Nº cargos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Ocupação - Nº cargos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Aumento em R$ ref criação e ocupação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Aumentos reais previstos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ref. Aumento de despesa com pessoal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 provimento efetivo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Oficial Administrativo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de Arrecadação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33,34,35,36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Secretário de Escola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Fiscal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Fiscal de Obras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21,22,23,24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de Trânsito e Transporte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Técnico de Engenharia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21,22,23,24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Desenhista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Segurança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Topógrafo Auxiliar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21,22,23,24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Agrícola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Artesão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Técnico de Enfermagem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de Enfermagem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Química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Edificações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Informática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Contínuo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5,6,7,8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Jardineiro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5,6,7,8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Motorista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Operador de Máquinas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R$ 336.233,85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R$ 336.233,85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Guarda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R$ 2.949.568,77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R$ 2.949.568,77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Monitor de Escola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Cuidador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R$ 273.074,69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R$ 273.074,69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Servente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1,2,3,4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Telefonista-Auxiliar de Regulação (SAMU)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Rádio Operador (SAMU)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Condutor de Veículos Emergência (SAMU)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Merendeira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1,2,3,4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Servente de Escola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1,2,3,4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Cozinheiro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R$ 197.942,66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R$ 197.942,66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Educador Social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R$ 1.722.471,12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R$ 1.722.471,12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Videofonista/Auxiliar de Regulação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de Serviço Social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Auxiliar de Enfermagem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de Enfermagem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em Saúde Bucal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9,10,11,12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Enfermagem Intervencionista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Artes Gráficas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1,2,3,4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de Artífice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5,6,7,8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Artífice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17,18,19,20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Operacional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R$ 155.143,88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R$ 155.143,88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Eletricista Instalador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Eletricista Montador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Eletricista Veicular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Administrador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Arquiteto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Bibliotecário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Biólogo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Farmacêutico-Bioquímico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Dentista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Economista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Engenheiro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Jornalista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Médico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R$ 792.753,60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R$ 792.753,60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Médico Perito-20 horas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Médico Veterinário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Pedagogo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Procurador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Psicopedagogo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Relações Públicas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Museólogo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Topógrafo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de Tributos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Médico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Orientador Educacional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Engenheiro de Segurança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Fonoaudiólogo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Fisioterapeuta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Terapeuta Ocupacional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Superior em Artes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Superior em Educação Física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Enfermeiro do Trabalho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37,38,39,40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Arqueologo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Tecnologo Saneamento Ambiental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Tecnologo em Gestao Ambiental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Turismologo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Geologo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Gestor Público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Superior em Música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Engenheiro Mecânico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Enfermeiro Intervencionista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Auxiliar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3198/89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1,2,3,4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3198/89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R$ 3.592.497,61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R$ 3.592.497,61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II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3198/89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R$ 691.723,14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R$ 691.723,14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III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3198/89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de Libras -usuário nativo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Professor da Ed.Infantil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29,30,31,32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R$ 3.626.781,33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R$ 3.626.781,33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da Ed. Infantil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25,26,27,28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R$ 1.305.350,07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R$ 1.305.350,07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Intérprete de LIBRAS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13,14,15,16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R$ 53.984,36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R$ 53.984,36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Economista Doméstico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Orientador Educacional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Psicólogo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 Educação Artística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Educação Física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4779/02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Agente Redutor de Danos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3338/90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R$ </w:t>
            </w: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15.697.525,08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R$ </w:t>
            </w: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15.697.525,08</w:t>
            </w:r>
          </w:p>
        </w:tc>
      </w:tr>
      <w:tr w:rsidR="00156294" w:rsidRPr="0053520A" w:rsidTr="00156294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Em comissão e Funções de Confiança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Comunicação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Coordenação do GGI-M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5.828/11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DAS06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Coordenação do Obser.Seg.Públ.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5.828/11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DAS06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Administrativo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DAS07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Secretario 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DAS06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Secretario II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DAS07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de Segurança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do Prefeito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do Vice-Prefeito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Especial de Área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DAS03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Especial de Secretário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DAS04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Especial do Vice-prefeito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DAS04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Especial do Prefeito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Assessor Técnico do CONSSEDI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5.837/11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Chefe de Administração Distrital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Chefe de Departamento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Chefe de Gabinete da Prefeita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Chefe de Gabinete de Secretario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Chefe de Gabinete do Vice-Prefeito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DAS03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Chefe de Setor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DAS06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Coordenador de Transparência e </w:t>
            </w: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Controle Interno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Coordenador da Unidade Central de Controle Interno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FGCI 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Coordenador do Observatório de Segurança Pública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5.828/11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Corregedor da Guarda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4.931/03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Diretor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DAS03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Diretor Executivo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DAS02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52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Encarregado de GinÃ¡sio de Esportes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FGE05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Gerente Distrital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6.033/13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Ordenador de Escalas de Serviços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FGE06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Procurador Geral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DAS01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Secretário CONSSEDI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5.837/11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DAS05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Secretário Executivo do GGI-M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5.828/11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DAS03  ou FGAS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Secretario Municipal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 6.423/17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SUBSIDIO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DDDDDD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Empregos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Gratificações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4" w:rsidRPr="0053520A" w:rsidRDefault="00156294" w:rsidP="001562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352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56294" w:rsidRPr="0053520A" w:rsidTr="00156294">
        <w:trPr>
          <w:trHeight w:val="342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352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FONTE</w:t>
            </w:r>
            <w:r w:rsidRPr="005352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: SIM- DRH-SCD. Posição agosto-18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156294" w:rsidRPr="0053520A" w:rsidTr="00156294">
        <w:trPr>
          <w:trHeight w:val="25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156294" w:rsidRPr="0053520A" w:rsidTr="00156294">
        <w:trPr>
          <w:trHeight w:val="25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156294" w:rsidRPr="0053520A" w:rsidTr="00156294">
        <w:trPr>
          <w:trHeight w:val="300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4" w:rsidRPr="0053520A" w:rsidRDefault="00156294" w:rsidP="001562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53520A" w:rsidRDefault="0053520A" w:rsidP="00E90883">
      <w:pPr>
        <w:jc w:val="center"/>
      </w:pPr>
    </w:p>
    <w:p w:rsidR="0053520A" w:rsidRDefault="0053520A" w:rsidP="00E90883">
      <w:pPr>
        <w:jc w:val="center"/>
      </w:pPr>
    </w:p>
    <w:sectPr w:rsidR="0053520A" w:rsidSect="003F0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8D" w:rsidRDefault="0099698D" w:rsidP="004B5AF0">
      <w:pPr>
        <w:spacing w:after="0" w:line="240" w:lineRule="auto"/>
      </w:pPr>
      <w:r>
        <w:separator/>
      </w:r>
    </w:p>
  </w:endnote>
  <w:endnote w:type="continuationSeparator" w:id="1">
    <w:p w:rsidR="0099698D" w:rsidRDefault="0099698D" w:rsidP="004B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47" w:rsidRDefault="00CD454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594"/>
      <w:docPartObj>
        <w:docPartGallery w:val="Page Numbers (Bottom of Page)"/>
        <w:docPartUnique/>
      </w:docPartObj>
    </w:sdtPr>
    <w:sdtContent>
      <w:p w:rsidR="00CD4547" w:rsidRDefault="006A5667">
        <w:pPr>
          <w:pStyle w:val="Rodap"/>
          <w:jc w:val="center"/>
        </w:pPr>
        <w:fldSimple w:instr=" PAGE   \* MERGEFORMAT ">
          <w:r w:rsidR="003F0002">
            <w:rPr>
              <w:noProof/>
            </w:rPr>
            <w:t>43</w:t>
          </w:r>
        </w:fldSimple>
      </w:p>
    </w:sdtContent>
  </w:sdt>
  <w:p w:rsidR="00CD4547" w:rsidRDefault="00CD454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47" w:rsidRDefault="00CD454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8D" w:rsidRDefault="0099698D" w:rsidP="004B5AF0">
      <w:pPr>
        <w:spacing w:after="0" w:line="240" w:lineRule="auto"/>
      </w:pPr>
      <w:r>
        <w:separator/>
      </w:r>
    </w:p>
  </w:footnote>
  <w:footnote w:type="continuationSeparator" w:id="1">
    <w:p w:rsidR="0099698D" w:rsidRDefault="0099698D" w:rsidP="004B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47" w:rsidRDefault="00CD454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47" w:rsidRDefault="00CD4547" w:rsidP="004B5AF0">
    <w:pPr>
      <w:pStyle w:val="Cabealho"/>
      <w:jc w:val="center"/>
    </w:pPr>
    <w:r w:rsidRPr="004B5AF0">
      <w:rPr>
        <w:noProof/>
        <w:lang w:eastAsia="pt-BR"/>
      </w:rPr>
      <w:drawing>
        <wp:inline distT="0" distB="0" distL="0" distR="0">
          <wp:extent cx="1600200" cy="504825"/>
          <wp:effectExtent l="19050" t="0" r="0" b="0"/>
          <wp:docPr id="13" name="Imagem 1" descr="marca-governo-prefeitura-pelot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0" name="Picture 16" descr="marca-governo-prefeitura-pelot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547" w:rsidRDefault="00CD45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D4030"/>
    <w:multiLevelType w:val="hybridMultilevel"/>
    <w:tmpl w:val="259C4E3A"/>
    <w:lvl w:ilvl="0" w:tplc="D8863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B45ED"/>
    <w:multiLevelType w:val="hybridMultilevel"/>
    <w:tmpl w:val="5FDA9190"/>
    <w:lvl w:ilvl="0" w:tplc="9D44CB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90883"/>
    <w:rsid w:val="00006CE3"/>
    <w:rsid w:val="00016BB3"/>
    <w:rsid w:val="000263D5"/>
    <w:rsid w:val="00027697"/>
    <w:rsid w:val="00035AAB"/>
    <w:rsid w:val="00064162"/>
    <w:rsid w:val="000A74E1"/>
    <w:rsid w:val="00156294"/>
    <w:rsid w:val="0017757E"/>
    <w:rsid w:val="001902FD"/>
    <w:rsid w:val="001A562B"/>
    <w:rsid w:val="001E593C"/>
    <w:rsid w:val="00215FDC"/>
    <w:rsid w:val="00241A5D"/>
    <w:rsid w:val="00254C58"/>
    <w:rsid w:val="00260510"/>
    <w:rsid w:val="00270F4C"/>
    <w:rsid w:val="002766C7"/>
    <w:rsid w:val="00277816"/>
    <w:rsid w:val="0028358B"/>
    <w:rsid w:val="002A00A2"/>
    <w:rsid w:val="002B444F"/>
    <w:rsid w:val="002F14FD"/>
    <w:rsid w:val="002F27F6"/>
    <w:rsid w:val="003173FF"/>
    <w:rsid w:val="003417BE"/>
    <w:rsid w:val="00371945"/>
    <w:rsid w:val="003769B1"/>
    <w:rsid w:val="0039674C"/>
    <w:rsid w:val="003D6C71"/>
    <w:rsid w:val="003F0002"/>
    <w:rsid w:val="003F3496"/>
    <w:rsid w:val="00402EEE"/>
    <w:rsid w:val="0041656C"/>
    <w:rsid w:val="00475E26"/>
    <w:rsid w:val="00491C60"/>
    <w:rsid w:val="004A42E2"/>
    <w:rsid w:val="004B5AF0"/>
    <w:rsid w:val="004C35C6"/>
    <w:rsid w:val="004D6BCA"/>
    <w:rsid w:val="004E241B"/>
    <w:rsid w:val="0053520A"/>
    <w:rsid w:val="00552B59"/>
    <w:rsid w:val="005615D2"/>
    <w:rsid w:val="00597A32"/>
    <w:rsid w:val="005B04C8"/>
    <w:rsid w:val="006331D1"/>
    <w:rsid w:val="00645335"/>
    <w:rsid w:val="0066502A"/>
    <w:rsid w:val="00695500"/>
    <w:rsid w:val="006A5667"/>
    <w:rsid w:val="0070090F"/>
    <w:rsid w:val="00707888"/>
    <w:rsid w:val="007607E6"/>
    <w:rsid w:val="00765DC9"/>
    <w:rsid w:val="0079410F"/>
    <w:rsid w:val="00796170"/>
    <w:rsid w:val="007A07C5"/>
    <w:rsid w:val="007C49C9"/>
    <w:rsid w:val="007E1B84"/>
    <w:rsid w:val="007E34C1"/>
    <w:rsid w:val="007E4A89"/>
    <w:rsid w:val="007E6159"/>
    <w:rsid w:val="008014D5"/>
    <w:rsid w:val="0081119C"/>
    <w:rsid w:val="00830CC6"/>
    <w:rsid w:val="00861F00"/>
    <w:rsid w:val="0087487B"/>
    <w:rsid w:val="0088217B"/>
    <w:rsid w:val="00895533"/>
    <w:rsid w:val="008C633E"/>
    <w:rsid w:val="008E7E88"/>
    <w:rsid w:val="009220BD"/>
    <w:rsid w:val="00932B02"/>
    <w:rsid w:val="00953846"/>
    <w:rsid w:val="009657DE"/>
    <w:rsid w:val="0098787D"/>
    <w:rsid w:val="00994F7F"/>
    <w:rsid w:val="0099698D"/>
    <w:rsid w:val="009D52BD"/>
    <w:rsid w:val="009E0237"/>
    <w:rsid w:val="009E3DCB"/>
    <w:rsid w:val="009F7BA4"/>
    <w:rsid w:val="00A35895"/>
    <w:rsid w:val="00A819C9"/>
    <w:rsid w:val="00A96949"/>
    <w:rsid w:val="00AC5106"/>
    <w:rsid w:val="00B12211"/>
    <w:rsid w:val="00B16E29"/>
    <w:rsid w:val="00B271A6"/>
    <w:rsid w:val="00BA72FC"/>
    <w:rsid w:val="00BF0AF8"/>
    <w:rsid w:val="00C04FD4"/>
    <w:rsid w:val="00C234BB"/>
    <w:rsid w:val="00C31F4A"/>
    <w:rsid w:val="00C3511F"/>
    <w:rsid w:val="00C519D9"/>
    <w:rsid w:val="00C52E17"/>
    <w:rsid w:val="00C70FD1"/>
    <w:rsid w:val="00C85773"/>
    <w:rsid w:val="00CA115B"/>
    <w:rsid w:val="00CD11DE"/>
    <w:rsid w:val="00CD4547"/>
    <w:rsid w:val="00CE2B20"/>
    <w:rsid w:val="00CF463F"/>
    <w:rsid w:val="00D13637"/>
    <w:rsid w:val="00D566EB"/>
    <w:rsid w:val="00D7166B"/>
    <w:rsid w:val="00D74755"/>
    <w:rsid w:val="00DA3532"/>
    <w:rsid w:val="00E176C2"/>
    <w:rsid w:val="00E4457F"/>
    <w:rsid w:val="00E50FD6"/>
    <w:rsid w:val="00E61086"/>
    <w:rsid w:val="00E8387A"/>
    <w:rsid w:val="00E90883"/>
    <w:rsid w:val="00EC3A26"/>
    <w:rsid w:val="00F63BAF"/>
    <w:rsid w:val="00F71F8E"/>
    <w:rsid w:val="00F8345D"/>
    <w:rsid w:val="00F90C56"/>
    <w:rsid w:val="00F9445E"/>
    <w:rsid w:val="00FC1E3B"/>
    <w:rsid w:val="00F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8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B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5AF0"/>
  </w:style>
  <w:style w:type="paragraph" w:styleId="Rodap">
    <w:name w:val="footer"/>
    <w:basedOn w:val="Normal"/>
    <w:link w:val="RodapChar"/>
    <w:uiPriority w:val="99"/>
    <w:unhideWhenUsed/>
    <w:rsid w:val="004B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AF0"/>
  </w:style>
  <w:style w:type="paragraph" w:customStyle="1" w:styleId="Textopr-formatado">
    <w:name w:val="Texto pré-formatado"/>
    <w:basedOn w:val="Normal"/>
    <w:rsid w:val="00932B0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1E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A1EC9"/>
    <w:rsid w:val="001A1EC9"/>
    <w:rsid w:val="002A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E4DB7EC525644BF9EC3966C23839D06">
    <w:name w:val="7E4DB7EC525644BF9EC3966C23839D06"/>
    <w:rsid w:val="001A1E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54E2-55FF-4CC5-8155-67E1C399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41</Pages>
  <Words>10976</Words>
  <Characters>59273</Characters>
  <Application>Microsoft Office Word</Application>
  <DocSecurity>0</DocSecurity>
  <Lines>493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juliana.clauhs</dc:creator>
  <cp:lastModifiedBy>maria.klumb</cp:lastModifiedBy>
  <cp:revision>18</cp:revision>
  <cp:lastPrinted>2018-09-27T19:16:00Z</cp:lastPrinted>
  <dcterms:created xsi:type="dcterms:W3CDTF">2017-09-22T15:19:00Z</dcterms:created>
  <dcterms:modified xsi:type="dcterms:W3CDTF">2018-09-27T19:16:00Z</dcterms:modified>
</cp:coreProperties>
</file>